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60A31" w:rsidRPr="00360A31" w14:paraId="2E6352AB" w14:textId="77777777" w:rsidTr="00A5124C">
        <w:tc>
          <w:tcPr>
            <w:tcW w:w="3082" w:type="dxa"/>
            <w:gridSpan w:val="2"/>
            <w:vAlign w:val="center"/>
          </w:tcPr>
          <w:p w14:paraId="06B064E7" w14:textId="77777777" w:rsidR="00610909" w:rsidRPr="00360A31" w:rsidRDefault="00610909" w:rsidP="000A1808">
            <w:pPr>
              <w:jc w:val="center"/>
            </w:pPr>
            <w:r w:rsidRPr="00360A31">
              <w:rPr>
                <w:noProof/>
                <w:lang w:eastAsia="hr-HR"/>
              </w:rPr>
              <w:drawing>
                <wp:inline distT="0" distB="0" distL="0" distR="0" wp14:anchorId="7C431AB6" wp14:editId="3564B1CD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381B949C" w14:textId="77777777" w:rsidR="00610909" w:rsidRPr="00360A31" w:rsidRDefault="00610909" w:rsidP="000A1808"/>
        </w:tc>
        <w:tc>
          <w:tcPr>
            <w:tcW w:w="2546" w:type="dxa"/>
            <w:vMerge w:val="restart"/>
            <w:vAlign w:val="center"/>
          </w:tcPr>
          <w:p w14:paraId="15210256" w14:textId="42FDBBD2" w:rsidR="00610909" w:rsidRPr="00360A31" w:rsidRDefault="00610909" w:rsidP="000A1808"/>
        </w:tc>
      </w:tr>
      <w:tr w:rsidR="00360A31" w:rsidRPr="00360A31" w14:paraId="2E079AEB" w14:textId="77777777" w:rsidTr="00A5124C">
        <w:tc>
          <w:tcPr>
            <w:tcW w:w="3082" w:type="dxa"/>
            <w:gridSpan w:val="2"/>
            <w:vAlign w:val="center"/>
          </w:tcPr>
          <w:p w14:paraId="33673127" w14:textId="77777777" w:rsidR="00610909" w:rsidRPr="00360A31" w:rsidRDefault="00610909" w:rsidP="000A1808">
            <w:pPr>
              <w:adjustRightInd w:val="0"/>
              <w:spacing w:before="120"/>
            </w:pPr>
            <w:r w:rsidRPr="00360A31">
              <w:ptab w:relativeTo="margin" w:alignment="left" w:leader="none"/>
            </w:r>
            <w:r w:rsidRPr="00360A31">
              <w:ptab w:relativeTo="margin" w:alignment="left" w:leader="none"/>
            </w:r>
            <w:r w:rsidRPr="00360A31">
              <w:t>REPUBLIKA HRVATSKA</w:t>
            </w:r>
          </w:p>
          <w:p w14:paraId="18D58681" w14:textId="77777777" w:rsidR="00610909" w:rsidRPr="00360A31" w:rsidRDefault="00610909" w:rsidP="000A1808">
            <w:pPr>
              <w:adjustRightInd w:val="0"/>
            </w:pPr>
            <w:r w:rsidRPr="00360A31">
              <w:t>KARLOVAČKA ŽUPANIJA</w:t>
            </w:r>
          </w:p>
        </w:tc>
        <w:tc>
          <w:tcPr>
            <w:tcW w:w="3434" w:type="dxa"/>
            <w:vAlign w:val="center"/>
          </w:tcPr>
          <w:p w14:paraId="5295B477" w14:textId="77777777" w:rsidR="00610909" w:rsidRPr="00360A31" w:rsidRDefault="00610909" w:rsidP="000A1808"/>
        </w:tc>
        <w:tc>
          <w:tcPr>
            <w:tcW w:w="2546" w:type="dxa"/>
            <w:vMerge/>
            <w:vAlign w:val="center"/>
          </w:tcPr>
          <w:p w14:paraId="54391C82" w14:textId="77777777" w:rsidR="00610909" w:rsidRPr="00360A31" w:rsidRDefault="00610909" w:rsidP="000A1808"/>
        </w:tc>
      </w:tr>
      <w:tr w:rsidR="00610909" w:rsidRPr="00360A31" w14:paraId="7601EC3E" w14:textId="77777777" w:rsidTr="00A5124C">
        <w:tc>
          <w:tcPr>
            <w:tcW w:w="636" w:type="dxa"/>
            <w:vAlign w:val="center"/>
          </w:tcPr>
          <w:p w14:paraId="74CEEE3A" w14:textId="77777777" w:rsidR="00610909" w:rsidRPr="00360A31" w:rsidRDefault="00610909" w:rsidP="000A1808">
            <w:r w:rsidRPr="00360A31">
              <w:rPr>
                <w:noProof/>
                <w:lang w:eastAsia="hr-HR"/>
              </w:rPr>
              <w:drawing>
                <wp:inline distT="0" distB="0" distL="0" distR="0" wp14:anchorId="35CBA3B6" wp14:editId="1B1B325F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1962480" w14:textId="77777777" w:rsidR="00610909" w:rsidRPr="00360A31" w:rsidRDefault="00610909" w:rsidP="000A1808">
            <w:r w:rsidRPr="00360A31">
              <w:t>GRAD KARLOVAC</w:t>
            </w:r>
          </w:p>
        </w:tc>
        <w:tc>
          <w:tcPr>
            <w:tcW w:w="3434" w:type="dxa"/>
            <w:vAlign w:val="center"/>
          </w:tcPr>
          <w:p w14:paraId="38031F0A" w14:textId="77777777" w:rsidR="00610909" w:rsidRPr="00360A31" w:rsidRDefault="00610909" w:rsidP="000A1808"/>
        </w:tc>
        <w:tc>
          <w:tcPr>
            <w:tcW w:w="2546" w:type="dxa"/>
            <w:vMerge/>
            <w:vAlign w:val="center"/>
          </w:tcPr>
          <w:p w14:paraId="6ACA829F" w14:textId="77777777" w:rsidR="00610909" w:rsidRPr="00360A31" w:rsidRDefault="00610909" w:rsidP="000A1808"/>
        </w:tc>
      </w:tr>
    </w:tbl>
    <w:p w14:paraId="42D108AD" w14:textId="77777777" w:rsidR="00610909" w:rsidRPr="00360A31" w:rsidRDefault="00610909" w:rsidP="000A1808">
      <w:pPr>
        <w:rPr>
          <w:szCs w:val="20"/>
        </w:rPr>
      </w:pPr>
    </w:p>
    <w:p w14:paraId="68469BF4" w14:textId="77777777" w:rsidR="00610909" w:rsidRPr="00360A31" w:rsidRDefault="00610909" w:rsidP="000A1808">
      <w:pPr>
        <w:rPr>
          <w:szCs w:val="20"/>
        </w:rPr>
      </w:pPr>
    </w:p>
    <w:p w14:paraId="77D9C7F0" w14:textId="77777777" w:rsidR="00610909" w:rsidRPr="00360A31" w:rsidRDefault="00610909" w:rsidP="000A1808">
      <w:r w:rsidRPr="00360A31">
        <w:t>GRADSKO VIJEĆE</w:t>
      </w:r>
    </w:p>
    <w:p w14:paraId="78D83C64" w14:textId="77777777" w:rsidR="00610909" w:rsidRPr="00360A31" w:rsidRDefault="00610909" w:rsidP="000A1808">
      <w:pPr>
        <w:jc w:val="both"/>
      </w:pPr>
      <w:r w:rsidRPr="00360A31">
        <w:t>KLASA:</w:t>
      </w:r>
      <w:r w:rsidRPr="00360A31">
        <w:tab/>
      </w:r>
      <w:r w:rsidRPr="00360A31">
        <w:tab/>
      </w:r>
      <w:r w:rsidRPr="00360A31">
        <w:tab/>
      </w:r>
    </w:p>
    <w:p w14:paraId="1A91D26C" w14:textId="77777777" w:rsidR="00610909" w:rsidRPr="00360A31" w:rsidRDefault="00610909" w:rsidP="000A1808">
      <w:pPr>
        <w:jc w:val="both"/>
      </w:pPr>
      <w:r w:rsidRPr="00360A31">
        <w:t>URBROJ:</w:t>
      </w:r>
      <w:r w:rsidRPr="00360A31">
        <w:tab/>
      </w:r>
      <w:r w:rsidRPr="00360A31">
        <w:tab/>
      </w:r>
    </w:p>
    <w:p w14:paraId="67424A14" w14:textId="22AA5A9E" w:rsidR="00610909" w:rsidRPr="00360A31" w:rsidRDefault="00610909" w:rsidP="000A1808">
      <w:pPr>
        <w:jc w:val="both"/>
      </w:pPr>
      <w:r w:rsidRPr="00360A31">
        <w:t>Karlovac, ____________  202</w:t>
      </w:r>
      <w:r w:rsidR="00146BFB">
        <w:t>5</w:t>
      </w:r>
      <w:r w:rsidRPr="00360A31">
        <w:t>. godine</w:t>
      </w:r>
    </w:p>
    <w:p w14:paraId="7520E117" w14:textId="77777777" w:rsidR="00610909" w:rsidRPr="00360A31" w:rsidRDefault="00610909" w:rsidP="000A1808"/>
    <w:p w14:paraId="4A2DC29C" w14:textId="4687BF7E" w:rsidR="00610909" w:rsidRPr="00360A31" w:rsidRDefault="004B5D92" w:rsidP="00A5084F">
      <w:pPr>
        <w:pStyle w:val="BodyText"/>
        <w:jc w:val="both"/>
        <w:rPr>
          <w:sz w:val="22"/>
          <w:szCs w:val="22"/>
        </w:rPr>
      </w:pPr>
      <w:r w:rsidRPr="004B5D92">
        <w:rPr>
          <w:sz w:val="22"/>
          <w:szCs w:val="22"/>
        </w:rPr>
        <w:t>Na temelju članka 10. stavak 1. Zakona o plaćama u lokalnoj i područnoj (regionalnoj) samoupravi („Narodne novine“ br. 28/10 i 10/23), u svezi s Uredbom o klasifikaciji radnih mjesta u lokalnoj i područnoj (regionalnoj) samoupravi („Narodne novine“ broj 74/10, 125/14 i 48/23) i članka 34. i 97. Statuta Grada Karlovca („Glasnik Grada Karlovca“ broj 7/09., 8/09., 3/13., 6/13., 3/18., 13/18., 6/20., 4/21., 8/21. i 10/22) Gradsko vijeće Grada Karlovca,  na svojoj ___ sjednici održanoj dana  ______________  godine donosi</w:t>
      </w:r>
    </w:p>
    <w:p w14:paraId="6378B5AE" w14:textId="77777777" w:rsidR="009C3853" w:rsidRDefault="009C3853" w:rsidP="000A1808">
      <w:pPr>
        <w:pStyle w:val="Heading1"/>
        <w:ind w:left="0" w:right="402" w:firstLine="0"/>
        <w:jc w:val="center"/>
        <w:rPr>
          <w:sz w:val="22"/>
          <w:szCs w:val="22"/>
        </w:rPr>
      </w:pPr>
    </w:p>
    <w:p w14:paraId="6D02E081" w14:textId="7BF43A97" w:rsidR="00610909" w:rsidRPr="00360A31" w:rsidRDefault="00610909" w:rsidP="000A1808">
      <w:pPr>
        <w:pStyle w:val="Heading1"/>
        <w:ind w:left="0" w:right="402" w:firstLine="0"/>
        <w:jc w:val="center"/>
        <w:rPr>
          <w:sz w:val="22"/>
          <w:szCs w:val="22"/>
        </w:rPr>
      </w:pPr>
      <w:r w:rsidRPr="00360A31">
        <w:rPr>
          <w:sz w:val="22"/>
          <w:szCs w:val="22"/>
        </w:rPr>
        <w:t>O D</w:t>
      </w:r>
      <w:r w:rsidRPr="00360A31">
        <w:rPr>
          <w:spacing w:val="-1"/>
          <w:sz w:val="22"/>
          <w:szCs w:val="22"/>
        </w:rPr>
        <w:t xml:space="preserve"> </w:t>
      </w:r>
      <w:r w:rsidRPr="00360A31">
        <w:rPr>
          <w:sz w:val="22"/>
          <w:szCs w:val="22"/>
        </w:rPr>
        <w:t>L</w:t>
      </w:r>
      <w:r w:rsidRPr="00360A31">
        <w:rPr>
          <w:spacing w:val="-14"/>
          <w:sz w:val="22"/>
          <w:szCs w:val="22"/>
        </w:rPr>
        <w:t xml:space="preserve"> </w:t>
      </w:r>
      <w:r w:rsidRPr="00360A31">
        <w:rPr>
          <w:sz w:val="22"/>
          <w:szCs w:val="22"/>
        </w:rPr>
        <w:t>U</w:t>
      </w:r>
      <w:r w:rsidRPr="00360A31">
        <w:rPr>
          <w:spacing w:val="-1"/>
          <w:sz w:val="22"/>
          <w:szCs w:val="22"/>
        </w:rPr>
        <w:t xml:space="preserve"> </w:t>
      </w:r>
      <w:r w:rsidRPr="00360A31">
        <w:rPr>
          <w:sz w:val="22"/>
          <w:szCs w:val="22"/>
        </w:rPr>
        <w:t xml:space="preserve">K </w:t>
      </w:r>
      <w:r w:rsidRPr="00360A31">
        <w:rPr>
          <w:spacing w:val="-10"/>
          <w:sz w:val="22"/>
          <w:szCs w:val="22"/>
        </w:rPr>
        <w:t>U</w:t>
      </w:r>
    </w:p>
    <w:p w14:paraId="226BA09D" w14:textId="10AA2E1B" w:rsidR="00610909" w:rsidRPr="00360A31" w:rsidRDefault="009C3853" w:rsidP="000A1808">
      <w:pPr>
        <w:pStyle w:val="Heading2"/>
        <w:spacing w:before="152" w:line="252" w:lineRule="auto"/>
        <w:ind w:left="0"/>
        <w:rPr>
          <w:sz w:val="22"/>
          <w:szCs w:val="22"/>
        </w:rPr>
      </w:pPr>
      <w:r>
        <w:rPr>
          <w:sz w:val="22"/>
          <w:szCs w:val="22"/>
        </w:rPr>
        <w:t>i</w:t>
      </w:r>
      <w:r w:rsidR="00146BFB">
        <w:rPr>
          <w:sz w:val="22"/>
          <w:szCs w:val="22"/>
        </w:rPr>
        <w:t>zmjen</w:t>
      </w:r>
      <w:r>
        <w:rPr>
          <w:sz w:val="22"/>
          <w:szCs w:val="22"/>
        </w:rPr>
        <w:t>ama i dopunama</w:t>
      </w:r>
      <w:r w:rsidR="00146BFB">
        <w:rPr>
          <w:sz w:val="22"/>
          <w:szCs w:val="22"/>
        </w:rPr>
        <w:t xml:space="preserve"> </w:t>
      </w:r>
      <w:bookmarkStart w:id="0" w:name="_Hlk207969083"/>
      <w:r w:rsidR="00146BFB">
        <w:rPr>
          <w:sz w:val="22"/>
          <w:szCs w:val="22"/>
        </w:rPr>
        <w:t xml:space="preserve">Odluke </w:t>
      </w:r>
      <w:r w:rsidR="00B34A90" w:rsidRPr="00B34A90">
        <w:rPr>
          <w:sz w:val="22"/>
          <w:szCs w:val="22"/>
        </w:rPr>
        <w:t>o koeficijentima za obračun plaća službenika i namještenika  u upravnim tijelima Grada Karlovca</w:t>
      </w:r>
    </w:p>
    <w:p w14:paraId="15FD624E" w14:textId="77777777" w:rsidR="00610909" w:rsidRPr="00360A31" w:rsidRDefault="00610909" w:rsidP="000A1808">
      <w:pPr>
        <w:pStyle w:val="BodyText"/>
        <w:spacing w:before="4"/>
        <w:rPr>
          <w:b/>
          <w:sz w:val="22"/>
          <w:szCs w:val="22"/>
        </w:rPr>
      </w:pPr>
    </w:p>
    <w:bookmarkEnd w:id="0"/>
    <w:p w14:paraId="3BB568FA" w14:textId="77777777" w:rsidR="000B4A74" w:rsidRDefault="000B4A74" w:rsidP="000A1808">
      <w:pPr>
        <w:ind w:right="402"/>
        <w:jc w:val="center"/>
        <w:rPr>
          <w:b/>
        </w:rPr>
      </w:pPr>
    </w:p>
    <w:p w14:paraId="34B117D0" w14:textId="419CE978" w:rsidR="00610909" w:rsidRDefault="00610909" w:rsidP="000A1808">
      <w:pPr>
        <w:ind w:right="402"/>
        <w:jc w:val="center"/>
        <w:rPr>
          <w:b/>
          <w:spacing w:val="-5"/>
        </w:rPr>
      </w:pPr>
      <w:r w:rsidRPr="00360A31">
        <w:rPr>
          <w:b/>
        </w:rPr>
        <w:t>Članak</w:t>
      </w:r>
      <w:r w:rsidRPr="00360A31">
        <w:rPr>
          <w:b/>
          <w:spacing w:val="-4"/>
        </w:rPr>
        <w:t xml:space="preserve"> </w:t>
      </w:r>
      <w:r w:rsidRPr="00360A31">
        <w:rPr>
          <w:b/>
          <w:spacing w:val="-5"/>
        </w:rPr>
        <w:t>1.</w:t>
      </w:r>
    </w:p>
    <w:p w14:paraId="260AF96A" w14:textId="46B74B2E" w:rsidR="00EB4154" w:rsidRDefault="000A1808" w:rsidP="000A1808">
      <w:pPr>
        <w:ind w:right="402" w:firstLine="708"/>
        <w:jc w:val="both"/>
        <w:rPr>
          <w:bCs/>
          <w:spacing w:val="-5"/>
        </w:rPr>
      </w:pPr>
      <w:r>
        <w:rPr>
          <w:bCs/>
          <w:spacing w:val="-5"/>
        </w:rPr>
        <w:t>Č</w:t>
      </w:r>
      <w:r w:rsidR="00DA0C9D">
        <w:rPr>
          <w:bCs/>
          <w:spacing w:val="-5"/>
        </w:rPr>
        <w:t xml:space="preserve">lanak </w:t>
      </w:r>
      <w:r w:rsidR="00EB4154">
        <w:rPr>
          <w:bCs/>
          <w:spacing w:val="-5"/>
        </w:rPr>
        <w:t xml:space="preserve">1. stavak 2. </w:t>
      </w:r>
      <w:r w:rsidR="00EB4154" w:rsidRPr="00DA0C9D">
        <w:rPr>
          <w:bCs/>
          <w:spacing w:val="-5"/>
        </w:rPr>
        <w:t>Odluke o koeficijentima za obračun plaća službenika i namještenika  u upravnim</w:t>
      </w:r>
      <w:r w:rsidR="00A5084F">
        <w:rPr>
          <w:bCs/>
          <w:spacing w:val="-5"/>
        </w:rPr>
        <w:t xml:space="preserve"> </w:t>
      </w:r>
      <w:r w:rsidR="00EB4154" w:rsidRPr="00DA0C9D">
        <w:rPr>
          <w:bCs/>
          <w:spacing w:val="-5"/>
        </w:rPr>
        <w:t>tijelima Grada Karlovca („Glasnik Grada Karlovca“ 13/25)</w:t>
      </w:r>
      <w:r w:rsidR="00EB4154">
        <w:rPr>
          <w:bCs/>
          <w:spacing w:val="-5"/>
        </w:rPr>
        <w:t xml:space="preserve"> </w:t>
      </w:r>
      <w:r>
        <w:rPr>
          <w:bCs/>
          <w:spacing w:val="-5"/>
        </w:rPr>
        <w:t>briše se.</w:t>
      </w:r>
    </w:p>
    <w:p w14:paraId="4963BB62" w14:textId="77777777" w:rsidR="00EB4154" w:rsidRDefault="00EB4154" w:rsidP="000A1808">
      <w:pPr>
        <w:ind w:right="402"/>
        <w:rPr>
          <w:bCs/>
          <w:spacing w:val="-5"/>
        </w:rPr>
      </w:pPr>
    </w:p>
    <w:p w14:paraId="52217E15" w14:textId="06A065B9" w:rsidR="00EB4154" w:rsidRDefault="00EB4154" w:rsidP="000A1808">
      <w:pPr>
        <w:ind w:right="402"/>
        <w:jc w:val="center"/>
        <w:rPr>
          <w:b/>
          <w:spacing w:val="-5"/>
        </w:rPr>
      </w:pPr>
      <w:r>
        <w:rPr>
          <w:b/>
          <w:spacing w:val="-5"/>
        </w:rPr>
        <w:t>Članak 2.</w:t>
      </w:r>
    </w:p>
    <w:p w14:paraId="3315C481" w14:textId="6BFD7120" w:rsidR="00C1037A" w:rsidRDefault="00C1037A" w:rsidP="00C1037A">
      <w:pPr>
        <w:spacing w:line="259" w:lineRule="auto"/>
        <w:ind w:firstLine="708"/>
        <w:jc w:val="both"/>
        <w:rPr>
          <w:rFonts w:eastAsia="Calibri"/>
          <w:bCs/>
          <w:lang w:eastAsia="hr-HR"/>
        </w:rPr>
      </w:pPr>
      <w:r w:rsidRPr="00494AE6">
        <w:rPr>
          <w:rFonts w:eastAsia="Calibri"/>
          <w:bCs/>
          <w:lang w:eastAsia="hr-HR"/>
        </w:rPr>
        <w:t xml:space="preserve">U članku 3. Odluke o koeficijentima za obračun plaća službenika i namještenika  u upravnim tijelima Grada Karlovca, </w:t>
      </w:r>
      <w:r>
        <w:rPr>
          <w:rFonts w:eastAsia="Calibri"/>
          <w:bCs/>
          <w:lang w:eastAsia="hr-HR"/>
        </w:rPr>
        <w:t>5</w:t>
      </w:r>
      <w:r w:rsidRPr="00494AE6">
        <w:rPr>
          <w:rFonts w:eastAsia="Calibri"/>
          <w:bCs/>
          <w:lang w:eastAsia="hr-HR"/>
        </w:rPr>
        <w:t xml:space="preserve">. UPRAVNI ODJEL </w:t>
      </w:r>
      <w:r w:rsidR="00865678" w:rsidRPr="00865678">
        <w:rPr>
          <w:rFonts w:eastAsia="Calibri"/>
          <w:bCs/>
          <w:lang w:eastAsia="hr-HR"/>
        </w:rPr>
        <w:t>ZA KOMUNALNO GOSPODARSTVO PROMET I MJESNU SAMOUPRAVU</w:t>
      </w:r>
      <w:r w:rsidRPr="00494AE6">
        <w:rPr>
          <w:rFonts w:eastAsia="Calibri"/>
          <w:bCs/>
          <w:lang w:eastAsia="hr-HR"/>
        </w:rPr>
        <w:t xml:space="preserve"> </w:t>
      </w:r>
      <w:r w:rsidR="00A5084F">
        <w:rPr>
          <w:rFonts w:eastAsia="Calibri"/>
          <w:bCs/>
          <w:lang w:eastAsia="hr-HR"/>
        </w:rPr>
        <w:t xml:space="preserve">radna mjesta </w:t>
      </w:r>
      <w:r w:rsidRPr="00494AE6">
        <w:rPr>
          <w:rFonts w:eastAsia="Calibri"/>
          <w:bCs/>
          <w:lang w:eastAsia="hr-HR"/>
        </w:rPr>
        <w:t>redni broj</w:t>
      </w:r>
      <w:r w:rsidR="00865678">
        <w:rPr>
          <w:rFonts w:eastAsia="Calibri"/>
          <w:bCs/>
          <w:lang w:eastAsia="hr-HR"/>
        </w:rPr>
        <w:t>evi</w:t>
      </w:r>
      <w:r w:rsidRPr="00494AE6">
        <w:rPr>
          <w:rFonts w:eastAsia="Calibri"/>
          <w:bCs/>
          <w:lang w:eastAsia="hr-HR"/>
        </w:rPr>
        <w:t xml:space="preserve"> </w:t>
      </w:r>
      <w:r w:rsidR="00865678">
        <w:rPr>
          <w:rFonts w:eastAsia="Calibri"/>
          <w:bCs/>
          <w:lang w:eastAsia="hr-HR"/>
        </w:rPr>
        <w:t>14. i 15</w:t>
      </w:r>
      <w:r w:rsidRPr="00494AE6">
        <w:rPr>
          <w:rFonts w:eastAsia="Calibri"/>
          <w:bCs/>
          <w:lang w:eastAsia="hr-HR"/>
        </w:rPr>
        <w:t>. mijenja</w:t>
      </w:r>
      <w:r w:rsidR="00865678">
        <w:rPr>
          <w:rFonts w:eastAsia="Calibri"/>
          <w:bCs/>
          <w:lang w:eastAsia="hr-HR"/>
        </w:rPr>
        <w:t>ju</w:t>
      </w:r>
      <w:r w:rsidRPr="00494AE6">
        <w:rPr>
          <w:rFonts w:eastAsia="Calibri"/>
          <w:bCs/>
          <w:lang w:eastAsia="hr-HR"/>
        </w:rPr>
        <w:t xml:space="preserve"> se i glas</w:t>
      </w:r>
      <w:r w:rsidR="00865678">
        <w:rPr>
          <w:rFonts w:eastAsia="Calibri"/>
          <w:bCs/>
          <w:lang w:eastAsia="hr-HR"/>
        </w:rPr>
        <w:t>e</w:t>
      </w:r>
      <w:r w:rsidRPr="00494AE6">
        <w:rPr>
          <w:rFonts w:eastAsia="Calibri"/>
          <w:bCs/>
          <w:lang w:eastAsia="hr-HR"/>
        </w:rPr>
        <w:t>:</w:t>
      </w:r>
    </w:p>
    <w:p w14:paraId="32C86569" w14:textId="77777777" w:rsidR="00865678" w:rsidRDefault="00865678" w:rsidP="00C1037A">
      <w:pPr>
        <w:spacing w:line="259" w:lineRule="auto"/>
        <w:ind w:firstLine="708"/>
        <w:jc w:val="both"/>
        <w:rPr>
          <w:rFonts w:eastAsia="Calibri"/>
          <w:bCs/>
          <w:lang w:eastAsia="hr-HR"/>
        </w:rPr>
      </w:pPr>
    </w:p>
    <w:tbl>
      <w:tblPr>
        <w:tblW w:w="936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52"/>
        <w:gridCol w:w="4493"/>
        <w:gridCol w:w="1843"/>
        <w:gridCol w:w="943"/>
        <w:gridCol w:w="1329"/>
      </w:tblGrid>
      <w:tr w:rsidR="00AE3A93" w:rsidRPr="00AE3A93" w14:paraId="15515B1E" w14:textId="77777777" w:rsidTr="005833F7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7DA9E27F" w14:textId="77777777" w:rsidR="00AE3A93" w:rsidRPr="00AE3A93" w:rsidRDefault="00AE3A93" w:rsidP="005833F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14.</w:t>
            </w:r>
          </w:p>
        </w:tc>
        <w:tc>
          <w:tcPr>
            <w:tcW w:w="4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14:paraId="79631227" w14:textId="77777777" w:rsidR="00AE3A93" w:rsidRPr="00AE3A93" w:rsidRDefault="00AE3A93" w:rsidP="0070745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Savjetnik – komunalni i prometni redar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hideMark/>
          </w:tcPr>
          <w:p w14:paraId="68BC5149" w14:textId="77777777" w:rsidR="00AE3A93" w:rsidRPr="00AE3A93" w:rsidRDefault="00AE3A93" w:rsidP="0070745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II/savjetnik/-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1B8745BF" w14:textId="77777777" w:rsidR="00AE3A93" w:rsidRPr="00AE3A93" w:rsidRDefault="00AE3A93" w:rsidP="005833F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5.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8B7D44" w14:textId="77777777" w:rsidR="00AE3A93" w:rsidRPr="00AE3A93" w:rsidRDefault="00AE3A93" w:rsidP="005833F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3,40</w:t>
            </w:r>
          </w:p>
        </w:tc>
      </w:tr>
      <w:tr w:rsidR="00AE3A93" w:rsidRPr="00AE3A93" w14:paraId="00C49E6A" w14:textId="77777777" w:rsidTr="005833F7">
        <w:trPr>
          <w:trHeight w:val="49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15753" w14:textId="77777777" w:rsidR="00AE3A93" w:rsidRPr="00AE3A93" w:rsidRDefault="00AE3A93" w:rsidP="005833F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15.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200BA8" w14:textId="77777777" w:rsidR="00AE3A93" w:rsidRPr="00AE3A93" w:rsidRDefault="00AE3A93" w:rsidP="0070745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 xml:space="preserve">Viši stručni suradnik -  komunalni i prometni redar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6BF349" w14:textId="77777777" w:rsidR="00AE3A93" w:rsidRPr="00AE3A93" w:rsidRDefault="00AE3A93" w:rsidP="0070745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II/viši stručni suradnik/-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12DC2" w14:textId="77777777" w:rsidR="00AE3A93" w:rsidRPr="00AE3A93" w:rsidRDefault="00AE3A93" w:rsidP="005833F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6.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25373A" w14:textId="77777777" w:rsidR="00AE3A93" w:rsidRPr="00AE3A93" w:rsidRDefault="00AE3A93" w:rsidP="005833F7">
            <w:pPr>
              <w:rPr>
                <w:i/>
                <w:iCs/>
                <w14:ligatures w14:val="none"/>
              </w:rPr>
            </w:pPr>
            <w:r w:rsidRPr="00AE3A93">
              <w:rPr>
                <w:i/>
                <w:iCs/>
                <w14:ligatures w14:val="none"/>
              </w:rPr>
              <w:t>2,91</w:t>
            </w:r>
          </w:p>
        </w:tc>
      </w:tr>
    </w:tbl>
    <w:p w14:paraId="5E5A81A3" w14:textId="77777777" w:rsidR="00865678" w:rsidRPr="00494AE6" w:rsidRDefault="00865678" w:rsidP="009F5C85">
      <w:pPr>
        <w:spacing w:line="259" w:lineRule="auto"/>
        <w:jc w:val="both"/>
        <w:rPr>
          <w:rFonts w:eastAsia="Calibri"/>
          <w:bCs/>
          <w:lang w:eastAsia="hr-HR"/>
        </w:rPr>
      </w:pPr>
    </w:p>
    <w:p w14:paraId="0DB4EA45" w14:textId="65204B53" w:rsidR="00C1037A" w:rsidRPr="00C1037A" w:rsidRDefault="00C1037A" w:rsidP="00C1037A">
      <w:pPr>
        <w:ind w:right="402"/>
        <w:rPr>
          <w:bCs/>
          <w:spacing w:val="-5"/>
        </w:rPr>
      </w:pPr>
    </w:p>
    <w:p w14:paraId="4B5EF8EA" w14:textId="476B2E8C" w:rsidR="00C1037A" w:rsidRDefault="00C1037A" w:rsidP="000A1808">
      <w:pPr>
        <w:ind w:right="402"/>
        <w:jc w:val="center"/>
        <w:rPr>
          <w:b/>
          <w:spacing w:val="-5"/>
        </w:rPr>
      </w:pPr>
      <w:r>
        <w:rPr>
          <w:b/>
          <w:spacing w:val="-5"/>
        </w:rPr>
        <w:t>Članak 3.</w:t>
      </w:r>
    </w:p>
    <w:p w14:paraId="48A4E60E" w14:textId="7C9BC1E4" w:rsidR="00052EBB" w:rsidRPr="00494AE6" w:rsidRDefault="00052EBB" w:rsidP="000A1808">
      <w:pPr>
        <w:spacing w:line="259" w:lineRule="auto"/>
        <w:ind w:firstLine="708"/>
        <w:jc w:val="both"/>
        <w:rPr>
          <w:rFonts w:eastAsia="Calibri"/>
          <w:bCs/>
          <w:lang w:eastAsia="hr-HR"/>
        </w:rPr>
      </w:pPr>
      <w:r w:rsidRPr="00494AE6">
        <w:rPr>
          <w:rFonts w:eastAsia="Calibri"/>
          <w:bCs/>
          <w:lang w:eastAsia="hr-HR"/>
        </w:rPr>
        <w:t xml:space="preserve">U članku 3. Odluke </w:t>
      </w:r>
      <w:bookmarkStart w:id="1" w:name="_Hlk216353461"/>
      <w:r w:rsidRPr="00494AE6">
        <w:rPr>
          <w:rFonts w:eastAsia="Calibri"/>
          <w:bCs/>
          <w:lang w:eastAsia="hr-HR"/>
        </w:rPr>
        <w:t>o koeficijentima za obračun plaća službenika i namještenika u upravnim tijelima Grada Karlovca, 8. UPRAVNI ODJEL ZA DRUŠTVENE DJELATNOSTI</w:t>
      </w:r>
      <w:bookmarkEnd w:id="1"/>
      <w:r w:rsidR="00494AE6" w:rsidRPr="00494AE6">
        <w:rPr>
          <w:rFonts w:eastAsia="Calibri"/>
          <w:bCs/>
          <w:lang w:eastAsia="hr-HR"/>
        </w:rPr>
        <w:t xml:space="preserve"> </w:t>
      </w:r>
      <w:r w:rsidR="00A5084F">
        <w:rPr>
          <w:rFonts w:eastAsia="Calibri"/>
          <w:bCs/>
          <w:lang w:eastAsia="hr-HR"/>
        </w:rPr>
        <w:t xml:space="preserve">radno mjesto </w:t>
      </w:r>
      <w:r w:rsidR="00494AE6" w:rsidRPr="00494AE6">
        <w:rPr>
          <w:rFonts w:eastAsia="Calibri"/>
          <w:bCs/>
          <w:lang w:eastAsia="hr-HR"/>
        </w:rPr>
        <w:t>redni broj 9. mijenja se i glasi:</w:t>
      </w:r>
    </w:p>
    <w:p w14:paraId="6AD7469A" w14:textId="77777777" w:rsidR="00052EBB" w:rsidRPr="00494AE6" w:rsidRDefault="00052EBB" w:rsidP="000A1808">
      <w:pPr>
        <w:spacing w:line="259" w:lineRule="auto"/>
        <w:rPr>
          <w:rFonts w:eastAsia="Calibri"/>
          <w:bCs/>
          <w:lang w:eastAsia="hr-HR"/>
        </w:rPr>
      </w:pPr>
    </w:p>
    <w:tbl>
      <w:tblPr>
        <w:tblW w:w="936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4493"/>
        <w:gridCol w:w="1843"/>
        <w:gridCol w:w="943"/>
        <w:gridCol w:w="1329"/>
      </w:tblGrid>
      <w:tr w:rsidR="00052EBB" w:rsidRPr="00494AE6" w14:paraId="7A344FDF" w14:textId="77777777" w:rsidTr="00A823F8">
        <w:trPr>
          <w:trHeight w:val="315"/>
        </w:trPr>
        <w:tc>
          <w:tcPr>
            <w:tcW w:w="752" w:type="dxa"/>
            <w:vAlign w:val="center"/>
            <w:hideMark/>
          </w:tcPr>
          <w:p w14:paraId="5C9D8BC7" w14:textId="77777777" w:rsidR="00052EBB" w:rsidRPr="00494AE6" w:rsidRDefault="00052EBB" w:rsidP="000A1808">
            <w:pPr>
              <w:contextualSpacing/>
              <w:jc w:val="center"/>
              <w:rPr>
                <w:i/>
                <w:iCs/>
              </w:rPr>
            </w:pPr>
            <w:r w:rsidRPr="00494AE6">
              <w:rPr>
                <w:i/>
                <w:iCs/>
              </w:rPr>
              <w:t>9.</w:t>
            </w:r>
          </w:p>
        </w:tc>
        <w:tc>
          <w:tcPr>
            <w:tcW w:w="4493" w:type="dxa"/>
            <w:vAlign w:val="center"/>
            <w:hideMark/>
          </w:tcPr>
          <w:p w14:paraId="23082A9C" w14:textId="77777777" w:rsidR="00052EBB" w:rsidRPr="00494AE6" w:rsidRDefault="00052EBB" w:rsidP="000A1808">
            <w:pPr>
              <w:contextualSpacing/>
              <w:jc w:val="center"/>
              <w:rPr>
                <w:i/>
                <w:iCs/>
              </w:rPr>
            </w:pPr>
            <w:r w:rsidRPr="00494AE6">
              <w:rPr>
                <w:i/>
                <w:iCs/>
              </w:rPr>
              <w:t>Savjetnik za socijalnu skrb</w:t>
            </w:r>
          </w:p>
        </w:tc>
        <w:tc>
          <w:tcPr>
            <w:tcW w:w="1843" w:type="dxa"/>
            <w:vAlign w:val="center"/>
            <w:hideMark/>
          </w:tcPr>
          <w:p w14:paraId="0B5769EF" w14:textId="77777777" w:rsidR="00052EBB" w:rsidRPr="00494AE6" w:rsidRDefault="00052EBB" w:rsidP="000A1808">
            <w:pPr>
              <w:contextualSpacing/>
              <w:jc w:val="center"/>
              <w:rPr>
                <w:i/>
                <w:iCs/>
              </w:rPr>
            </w:pPr>
            <w:r w:rsidRPr="00494AE6">
              <w:rPr>
                <w:i/>
                <w:iCs/>
              </w:rPr>
              <w:t>II/savjetnik/-</w:t>
            </w:r>
          </w:p>
        </w:tc>
        <w:tc>
          <w:tcPr>
            <w:tcW w:w="943" w:type="dxa"/>
            <w:vAlign w:val="center"/>
            <w:hideMark/>
          </w:tcPr>
          <w:p w14:paraId="33879F56" w14:textId="77777777" w:rsidR="00052EBB" w:rsidRPr="00494AE6" w:rsidRDefault="00052EBB" w:rsidP="000A1808">
            <w:pPr>
              <w:contextualSpacing/>
              <w:jc w:val="center"/>
              <w:rPr>
                <w:i/>
                <w:iCs/>
              </w:rPr>
            </w:pPr>
            <w:r w:rsidRPr="00494AE6">
              <w:rPr>
                <w:i/>
                <w:iCs/>
              </w:rPr>
              <w:t>5.</w:t>
            </w:r>
          </w:p>
        </w:tc>
        <w:tc>
          <w:tcPr>
            <w:tcW w:w="1329" w:type="dxa"/>
            <w:vAlign w:val="center"/>
            <w:hideMark/>
          </w:tcPr>
          <w:p w14:paraId="74F871D8" w14:textId="77777777" w:rsidR="00052EBB" w:rsidRPr="00494AE6" w:rsidRDefault="00052EBB" w:rsidP="000A1808">
            <w:pPr>
              <w:contextualSpacing/>
              <w:jc w:val="center"/>
              <w:rPr>
                <w:i/>
                <w:iCs/>
              </w:rPr>
            </w:pPr>
            <w:r w:rsidRPr="00494AE6">
              <w:rPr>
                <w:i/>
                <w:iCs/>
              </w:rPr>
              <w:t>3,21</w:t>
            </w:r>
          </w:p>
        </w:tc>
      </w:tr>
    </w:tbl>
    <w:p w14:paraId="5BD63712" w14:textId="67B231F3" w:rsidR="00153CFA" w:rsidRPr="00551BDE" w:rsidRDefault="00551BDE" w:rsidP="00551BDE">
      <w:pPr>
        <w:pStyle w:val="Heading2"/>
        <w:spacing w:before="160"/>
        <w:ind w:left="0"/>
        <w:jc w:val="both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 xml:space="preserve">U članku 3. Odluke </w:t>
      </w:r>
      <w:r w:rsidRPr="00551BDE">
        <w:rPr>
          <w:b w:val="0"/>
          <w:bCs w:val="0"/>
          <w:sz w:val="22"/>
          <w:szCs w:val="22"/>
        </w:rPr>
        <w:t>o koeficijentima za obračun plaća službenika i namještenika  u upravnim tijelima Grada Karlovca</w:t>
      </w:r>
      <w:r>
        <w:rPr>
          <w:b w:val="0"/>
          <w:bCs w:val="0"/>
          <w:sz w:val="22"/>
          <w:szCs w:val="22"/>
        </w:rPr>
        <w:t xml:space="preserve">, </w:t>
      </w:r>
      <w:r w:rsidRPr="00551BDE">
        <w:rPr>
          <w:b w:val="0"/>
          <w:bCs w:val="0"/>
          <w:sz w:val="22"/>
          <w:szCs w:val="22"/>
        </w:rPr>
        <w:t>8. UPRAVNI ODJEL ZA DRUŠTVENE DJELATNOSTI</w:t>
      </w:r>
      <w:r>
        <w:rPr>
          <w:b w:val="0"/>
          <w:bCs w:val="0"/>
          <w:sz w:val="22"/>
          <w:szCs w:val="22"/>
        </w:rPr>
        <w:t xml:space="preserve"> naziv </w:t>
      </w:r>
      <w:r w:rsidRPr="00551BDE">
        <w:rPr>
          <w:b w:val="0"/>
          <w:bCs w:val="0"/>
          <w:i/>
          <w:iCs/>
          <w:sz w:val="22"/>
          <w:szCs w:val="22"/>
        </w:rPr>
        <w:t>ODSJE</w:t>
      </w:r>
      <w:r>
        <w:rPr>
          <w:b w:val="0"/>
          <w:bCs w:val="0"/>
          <w:i/>
          <w:iCs/>
          <w:sz w:val="22"/>
          <w:szCs w:val="22"/>
        </w:rPr>
        <w:t xml:space="preserve">K ZA MLADE, SPORT, KULTURU I TEHNIČKU KULTURU </w:t>
      </w:r>
      <w:r>
        <w:rPr>
          <w:b w:val="0"/>
          <w:bCs w:val="0"/>
          <w:sz w:val="22"/>
          <w:szCs w:val="22"/>
        </w:rPr>
        <w:t xml:space="preserve">mijenja se i glasi: </w:t>
      </w:r>
      <w:r w:rsidRPr="00551BDE">
        <w:rPr>
          <w:b w:val="0"/>
          <w:bCs w:val="0"/>
          <w:i/>
          <w:iCs/>
          <w:sz w:val="22"/>
          <w:szCs w:val="22"/>
        </w:rPr>
        <w:t>ODSJEK ZA KULTURU, TEHNIČKU KULTURU, SPORT I MLAD</w:t>
      </w:r>
      <w:r w:rsidRPr="00551BDE">
        <w:rPr>
          <w:b w:val="0"/>
          <w:bCs w:val="0"/>
          <w:sz w:val="22"/>
          <w:szCs w:val="22"/>
        </w:rPr>
        <w:t>E</w:t>
      </w:r>
      <w:r>
        <w:rPr>
          <w:b w:val="0"/>
          <w:bCs w:val="0"/>
          <w:sz w:val="22"/>
          <w:szCs w:val="22"/>
        </w:rPr>
        <w:t>.</w:t>
      </w:r>
    </w:p>
    <w:p w14:paraId="2842FF4F" w14:textId="4626DC17" w:rsidR="00A30318" w:rsidRDefault="005D6176" w:rsidP="00153CFA">
      <w:pPr>
        <w:pStyle w:val="Heading2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Članak </w:t>
      </w:r>
      <w:r w:rsidR="00C1037A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14:paraId="7217045A" w14:textId="3818A117" w:rsidR="00EC7BBC" w:rsidRDefault="00FD0835" w:rsidP="00153CFA">
      <w:pPr>
        <w:pStyle w:val="Heading2"/>
        <w:spacing w:before="0"/>
        <w:ind w:left="0" w:firstLine="708"/>
        <w:jc w:val="both"/>
        <w:rPr>
          <w:b w:val="0"/>
          <w:bCs w:val="0"/>
          <w:sz w:val="22"/>
          <w:szCs w:val="22"/>
        </w:rPr>
      </w:pPr>
      <w:r w:rsidRPr="00FD0835">
        <w:rPr>
          <w:b w:val="0"/>
          <w:bCs w:val="0"/>
          <w:sz w:val="22"/>
          <w:szCs w:val="22"/>
        </w:rPr>
        <w:t>U članku 3</w:t>
      </w:r>
      <w:r w:rsidR="00551BDE">
        <w:rPr>
          <w:b w:val="0"/>
          <w:bCs w:val="0"/>
          <w:sz w:val="22"/>
          <w:szCs w:val="22"/>
        </w:rPr>
        <w:t>.</w:t>
      </w:r>
      <w:r w:rsidR="00551BDE" w:rsidRPr="00551BDE">
        <w:t xml:space="preserve"> </w:t>
      </w:r>
      <w:r w:rsidR="00551BDE" w:rsidRPr="00551BDE">
        <w:rPr>
          <w:b w:val="0"/>
          <w:bCs w:val="0"/>
          <w:sz w:val="22"/>
          <w:szCs w:val="22"/>
        </w:rPr>
        <w:t>Odluke o koeficijentima za obračun plaća službenika i namještenika  u upravnim tijelima Grada Karlovca</w:t>
      </w:r>
      <w:r w:rsidR="00551BDE">
        <w:rPr>
          <w:b w:val="0"/>
          <w:bCs w:val="0"/>
          <w:sz w:val="22"/>
          <w:szCs w:val="22"/>
        </w:rPr>
        <w:t xml:space="preserve"> </w:t>
      </w:r>
      <w:r w:rsidR="006E576F">
        <w:rPr>
          <w:b w:val="0"/>
          <w:bCs w:val="0"/>
          <w:sz w:val="22"/>
          <w:szCs w:val="22"/>
        </w:rPr>
        <w:t>12</w:t>
      </w:r>
      <w:r w:rsidRPr="00FD0835">
        <w:rPr>
          <w:b w:val="0"/>
          <w:bCs w:val="0"/>
          <w:sz w:val="22"/>
          <w:szCs w:val="22"/>
        </w:rPr>
        <w:t xml:space="preserve">. </w:t>
      </w:r>
      <w:r w:rsidR="006E576F">
        <w:rPr>
          <w:b w:val="0"/>
          <w:bCs w:val="0"/>
          <w:sz w:val="22"/>
          <w:szCs w:val="22"/>
        </w:rPr>
        <w:t>SLUŽBA – VLASTITI POGON ZA OBAVLJANJE KOMUNALNE DJELATNOST</w:t>
      </w:r>
      <w:r w:rsidR="00A5084F">
        <w:rPr>
          <w:b w:val="0"/>
          <w:bCs w:val="0"/>
          <w:sz w:val="22"/>
          <w:szCs w:val="22"/>
        </w:rPr>
        <w:t xml:space="preserve">I radna mjesta </w:t>
      </w:r>
      <w:r w:rsidR="00AF31D8">
        <w:rPr>
          <w:b w:val="0"/>
          <w:bCs w:val="0"/>
          <w:sz w:val="22"/>
          <w:szCs w:val="22"/>
        </w:rPr>
        <w:t>redni brojevi 5.</w:t>
      </w:r>
      <w:r w:rsidR="00551BDE">
        <w:rPr>
          <w:b w:val="0"/>
          <w:bCs w:val="0"/>
          <w:sz w:val="22"/>
          <w:szCs w:val="22"/>
        </w:rPr>
        <w:t>,</w:t>
      </w:r>
      <w:r w:rsidR="00AF31D8">
        <w:rPr>
          <w:b w:val="0"/>
          <w:bCs w:val="0"/>
          <w:sz w:val="22"/>
          <w:szCs w:val="22"/>
        </w:rPr>
        <w:t xml:space="preserve"> 8.</w:t>
      </w:r>
      <w:r w:rsidR="00551BDE">
        <w:rPr>
          <w:b w:val="0"/>
          <w:bCs w:val="0"/>
          <w:sz w:val="22"/>
          <w:szCs w:val="22"/>
        </w:rPr>
        <w:t>,</w:t>
      </w:r>
      <w:r w:rsidR="00EC7BBC">
        <w:rPr>
          <w:b w:val="0"/>
          <w:bCs w:val="0"/>
          <w:sz w:val="22"/>
          <w:szCs w:val="22"/>
        </w:rPr>
        <w:t xml:space="preserve"> 9.</w:t>
      </w:r>
      <w:r w:rsidR="00681ACF">
        <w:rPr>
          <w:b w:val="0"/>
          <w:bCs w:val="0"/>
          <w:sz w:val="22"/>
          <w:szCs w:val="22"/>
        </w:rPr>
        <w:t>,</w:t>
      </w:r>
      <w:r w:rsidR="00EC7BBC">
        <w:rPr>
          <w:b w:val="0"/>
          <w:bCs w:val="0"/>
          <w:sz w:val="22"/>
          <w:szCs w:val="22"/>
        </w:rPr>
        <w:t xml:space="preserve"> 11. </w:t>
      </w:r>
      <w:r w:rsidR="00B50684">
        <w:rPr>
          <w:b w:val="0"/>
          <w:bCs w:val="0"/>
          <w:sz w:val="22"/>
          <w:szCs w:val="22"/>
        </w:rPr>
        <w:t xml:space="preserve">i 12. </w:t>
      </w:r>
      <w:r w:rsidR="00EC7BBC">
        <w:rPr>
          <w:b w:val="0"/>
          <w:bCs w:val="0"/>
          <w:sz w:val="22"/>
          <w:szCs w:val="22"/>
        </w:rPr>
        <w:t>mijenjaju se i glase:</w:t>
      </w:r>
    </w:p>
    <w:p w14:paraId="22A0EBF3" w14:textId="77777777" w:rsidR="00EC7BBC" w:rsidRDefault="00EC7BBC" w:rsidP="00FD0835">
      <w:pPr>
        <w:pStyle w:val="Heading2"/>
        <w:spacing w:before="160"/>
        <w:ind w:left="0" w:firstLine="708"/>
        <w:jc w:val="left"/>
        <w:rPr>
          <w:b w:val="0"/>
          <w:bCs w:val="0"/>
          <w:sz w:val="22"/>
          <w:szCs w:val="22"/>
        </w:rPr>
      </w:pPr>
    </w:p>
    <w:tbl>
      <w:tblPr>
        <w:tblW w:w="936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4200"/>
        <w:gridCol w:w="2136"/>
        <w:gridCol w:w="943"/>
        <w:gridCol w:w="1329"/>
      </w:tblGrid>
      <w:tr w:rsidR="00E21178" w:rsidRPr="00040D7F" w14:paraId="68835FF3" w14:textId="77777777" w:rsidTr="00A5084F">
        <w:trPr>
          <w:trHeight w:val="315"/>
        </w:trPr>
        <w:tc>
          <w:tcPr>
            <w:tcW w:w="752" w:type="dxa"/>
            <w:vAlign w:val="center"/>
            <w:hideMark/>
          </w:tcPr>
          <w:p w14:paraId="5CE7F97E" w14:textId="6E010FFA" w:rsidR="00E21178" w:rsidRPr="00040D7F" w:rsidRDefault="00E21178" w:rsidP="00E21178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5.</w:t>
            </w:r>
          </w:p>
        </w:tc>
        <w:tc>
          <w:tcPr>
            <w:tcW w:w="4200" w:type="dxa"/>
            <w:vAlign w:val="center"/>
          </w:tcPr>
          <w:p w14:paraId="4A5B4897" w14:textId="1C07FFEF" w:rsidR="00E21178" w:rsidRPr="00040D7F" w:rsidRDefault="00E21178" w:rsidP="00040D7F">
            <w:pPr>
              <w:contextualSpacing/>
              <w:rPr>
                <w:i/>
                <w:iCs/>
              </w:rPr>
            </w:pPr>
            <w:r w:rsidRPr="00040D7F">
              <w:rPr>
                <w:i/>
                <w:iCs/>
              </w:rPr>
              <w:t>Voditelj poslova namještenika – kontrolora parkiranja</w:t>
            </w:r>
          </w:p>
        </w:tc>
        <w:tc>
          <w:tcPr>
            <w:tcW w:w="2136" w:type="dxa"/>
            <w:vAlign w:val="center"/>
          </w:tcPr>
          <w:p w14:paraId="2AFC9F53" w14:textId="79F2427F" w:rsidR="00E21178" w:rsidRPr="00040D7F" w:rsidRDefault="00E21178" w:rsidP="00A5084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IV/ namještenik I/-</w:t>
            </w:r>
          </w:p>
        </w:tc>
        <w:tc>
          <w:tcPr>
            <w:tcW w:w="943" w:type="dxa"/>
            <w:vAlign w:val="center"/>
          </w:tcPr>
          <w:p w14:paraId="3878FE28" w14:textId="5DEDF7B3" w:rsidR="00E21178" w:rsidRPr="00040D7F" w:rsidRDefault="00E21178" w:rsidP="00A5084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10.</w:t>
            </w:r>
          </w:p>
        </w:tc>
        <w:tc>
          <w:tcPr>
            <w:tcW w:w="1329" w:type="dxa"/>
            <w:vAlign w:val="center"/>
          </w:tcPr>
          <w:p w14:paraId="14BB178E" w14:textId="0D4467B8" w:rsidR="00E21178" w:rsidRPr="00040D7F" w:rsidRDefault="00E21178" w:rsidP="00A5084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2,30</w:t>
            </w:r>
          </w:p>
        </w:tc>
      </w:tr>
    </w:tbl>
    <w:p w14:paraId="54DF277A" w14:textId="77777777" w:rsidR="00EC7BBC" w:rsidRPr="00040D7F" w:rsidRDefault="00EC7BBC" w:rsidP="00FD0835">
      <w:pPr>
        <w:pStyle w:val="Heading2"/>
        <w:spacing w:before="160"/>
        <w:ind w:left="0" w:firstLine="708"/>
        <w:jc w:val="left"/>
        <w:rPr>
          <w:b w:val="0"/>
          <w:bCs w:val="0"/>
          <w:i/>
          <w:iCs/>
          <w:sz w:val="22"/>
          <w:szCs w:val="22"/>
        </w:rPr>
      </w:pPr>
    </w:p>
    <w:tbl>
      <w:tblPr>
        <w:tblW w:w="936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4200"/>
        <w:gridCol w:w="2136"/>
        <w:gridCol w:w="943"/>
        <w:gridCol w:w="1329"/>
      </w:tblGrid>
      <w:tr w:rsidR="002A435A" w:rsidRPr="00040D7F" w14:paraId="175743D0" w14:textId="77777777" w:rsidTr="00040D7F">
        <w:trPr>
          <w:trHeight w:val="315"/>
        </w:trPr>
        <w:tc>
          <w:tcPr>
            <w:tcW w:w="752" w:type="dxa"/>
            <w:hideMark/>
          </w:tcPr>
          <w:p w14:paraId="0E9887D9" w14:textId="28F4CD4D" w:rsidR="002A435A" w:rsidRPr="00040D7F" w:rsidRDefault="002A435A" w:rsidP="002A435A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8.</w:t>
            </w:r>
          </w:p>
        </w:tc>
        <w:tc>
          <w:tcPr>
            <w:tcW w:w="4200" w:type="dxa"/>
            <w:vAlign w:val="center"/>
          </w:tcPr>
          <w:p w14:paraId="0CA036E0" w14:textId="5274C8BB" w:rsidR="002A435A" w:rsidRPr="00040D7F" w:rsidRDefault="002A435A" w:rsidP="00040D7F">
            <w:pPr>
              <w:contextualSpacing/>
              <w:rPr>
                <w:i/>
                <w:iCs/>
              </w:rPr>
            </w:pPr>
            <w:r w:rsidRPr="00040D7F">
              <w:rPr>
                <w:i/>
                <w:iCs/>
              </w:rPr>
              <w:t>Namještenik za tehničke poslove</w:t>
            </w:r>
          </w:p>
        </w:tc>
        <w:tc>
          <w:tcPr>
            <w:tcW w:w="2136" w:type="dxa"/>
          </w:tcPr>
          <w:p w14:paraId="7965D4D6" w14:textId="13C77A3D" w:rsidR="002A435A" w:rsidRPr="00040D7F" w:rsidRDefault="002A435A" w:rsidP="002A435A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IV/namještenik II</w:t>
            </w:r>
            <w:r w:rsidR="009D2006" w:rsidRPr="00040D7F">
              <w:rPr>
                <w:i/>
                <w:iCs/>
              </w:rPr>
              <w:t>/1</w:t>
            </w:r>
            <w:r w:rsidR="00EC2F05">
              <w:rPr>
                <w:i/>
                <w:iCs/>
              </w:rPr>
              <w:t>.</w:t>
            </w:r>
          </w:p>
        </w:tc>
        <w:tc>
          <w:tcPr>
            <w:tcW w:w="943" w:type="dxa"/>
          </w:tcPr>
          <w:p w14:paraId="52A30F0D" w14:textId="3814A17D" w:rsidR="002A435A" w:rsidRPr="00040D7F" w:rsidRDefault="002A435A" w:rsidP="002A435A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12.</w:t>
            </w:r>
          </w:p>
        </w:tc>
        <w:tc>
          <w:tcPr>
            <w:tcW w:w="1329" w:type="dxa"/>
          </w:tcPr>
          <w:p w14:paraId="5485428F" w14:textId="0A841553" w:rsidR="002A435A" w:rsidRPr="00040D7F" w:rsidRDefault="002A435A" w:rsidP="002A435A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1,90</w:t>
            </w:r>
          </w:p>
        </w:tc>
      </w:tr>
    </w:tbl>
    <w:p w14:paraId="176EBEC0" w14:textId="77777777" w:rsidR="00EC7BBC" w:rsidRDefault="00EC7BBC" w:rsidP="00FD0835">
      <w:pPr>
        <w:pStyle w:val="Heading2"/>
        <w:spacing w:before="160"/>
        <w:ind w:left="0" w:firstLine="708"/>
        <w:jc w:val="left"/>
        <w:rPr>
          <w:b w:val="0"/>
          <w:bCs w:val="0"/>
          <w:i/>
          <w:iCs/>
          <w:sz w:val="22"/>
          <w:szCs w:val="22"/>
        </w:rPr>
      </w:pPr>
    </w:p>
    <w:tbl>
      <w:tblPr>
        <w:tblW w:w="936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4200"/>
        <w:gridCol w:w="2136"/>
        <w:gridCol w:w="943"/>
        <w:gridCol w:w="1329"/>
      </w:tblGrid>
      <w:tr w:rsidR="003052B4" w:rsidRPr="00040D7F" w14:paraId="4A4945FA" w14:textId="77777777" w:rsidTr="00707457">
        <w:trPr>
          <w:trHeight w:val="315"/>
        </w:trPr>
        <w:tc>
          <w:tcPr>
            <w:tcW w:w="752" w:type="dxa"/>
            <w:vAlign w:val="center"/>
            <w:hideMark/>
          </w:tcPr>
          <w:p w14:paraId="0472BED8" w14:textId="38C2E7F1" w:rsidR="003052B4" w:rsidRPr="00040D7F" w:rsidRDefault="003052B4" w:rsidP="003052B4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9.</w:t>
            </w:r>
          </w:p>
        </w:tc>
        <w:tc>
          <w:tcPr>
            <w:tcW w:w="4200" w:type="dxa"/>
            <w:vAlign w:val="center"/>
          </w:tcPr>
          <w:p w14:paraId="411021D6" w14:textId="10415B12" w:rsidR="003052B4" w:rsidRPr="00040D7F" w:rsidRDefault="003052B4" w:rsidP="003052B4">
            <w:pPr>
              <w:contextualSpacing/>
              <w:rPr>
                <w:i/>
                <w:iCs/>
              </w:rPr>
            </w:pPr>
            <w:r w:rsidRPr="00040D7F">
              <w:rPr>
                <w:i/>
                <w:iCs/>
              </w:rPr>
              <w:t>Tehničar za održavanje – dispečer pauka</w:t>
            </w:r>
          </w:p>
        </w:tc>
        <w:tc>
          <w:tcPr>
            <w:tcW w:w="2136" w:type="dxa"/>
          </w:tcPr>
          <w:p w14:paraId="22EEDF84" w14:textId="22B31BD5" w:rsidR="003052B4" w:rsidRPr="00040D7F" w:rsidRDefault="003052B4" w:rsidP="003052B4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IV/namještenik II /1.</w:t>
            </w:r>
          </w:p>
        </w:tc>
        <w:tc>
          <w:tcPr>
            <w:tcW w:w="943" w:type="dxa"/>
          </w:tcPr>
          <w:p w14:paraId="41019D73" w14:textId="3B011E3A" w:rsidR="003052B4" w:rsidRPr="00040D7F" w:rsidRDefault="003052B4" w:rsidP="003052B4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11.</w:t>
            </w:r>
          </w:p>
        </w:tc>
        <w:tc>
          <w:tcPr>
            <w:tcW w:w="1329" w:type="dxa"/>
          </w:tcPr>
          <w:p w14:paraId="76021E17" w14:textId="2DE727EC" w:rsidR="003052B4" w:rsidRPr="00040D7F" w:rsidRDefault="003052B4" w:rsidP="003052B4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2,00</w:t>
            </w:r>
          </w:p>
        </w:tc>
      </w:tr>
    </w:tbl>
    <w:p w14:paraId="4722B67E" w14:textId="77777777" w:rsidR="003052B4" w:rsidRPr="00040D7F" w:rsidRDefault="003052B4" w:rsidP="00FD0835">
      <w:pPr>
        <w:pStyle w:val="Heading2"/>
        <w:spacing w:before="160"/>
        <w:ind w:left="0" w:firstLine="708"/>
        <w:jc w:val="left"/>
        <w:rPr>
          <w:b w:val="0"/>
          <w:bCs w:val="0"/>
          <w:i/>
          <w:iCs/>
          <w:sz w:val="22"/>
          <w:szCs w:val="22"/>
        </w:rPr>
      </w:pPr>
    </w:p>
    <w:tbl>
      <w:tblPr>
        <w:tblW w:w="936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4200"/>
        <w:gridCol w:w="2136"/>
        <w:gridCol w:w="943"/>
        <w:gridCol w:w="1329"/>
      </w:tblGrid>
      <w:tr w:rsidR="00040D7F" w:rsidRPr="00040D7F" w14:paraId="66FCE305" w14:textId="77777777" w:rsidTr="00A5084F">
        <w:trPr>
          <w:trHeight w:val="315"/>
        </w:trPr>
        <w:tc>
          <w:tcPr>
            <w:tcW w:w="752" w:type="dxa"/>
            <w:vAlign w:val="center"/>
            <w:hideMark/>
          </w:tcPr>
          <w:p w14:paraId="2FF79591" w14:textId="4D07E0BA" w:rsidR="00040D7F" w:rsidRPr="00040D7F" w:rsidRDefault="00040D7F" w:rsidP="00040D7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11.</w:t>
            </w:r>
          </w:p>
        </w:tc>
        <w:tc>
          <w:tcPr>
            <w:tcW w:w="4200" w:type="dxa"/>
            <w:vAlign w:val="center"/>
          </w:tcPr>
          <w:p w14:paraId="4831972B" w14:textId="03FCCA00" w:rsidR="00040D7F" w:rsidRPr="00040D7F" w:rsidRDefault="00040D7F" w:rsidP="00040D7F">
            <w:pPr>
              <w:contextualSpacing/>
              <w:rPr>
                <w:i/>
                <w:iCs/>
              </w:rPr>
            </w:pPr>
            <w:r w:rsidRPr="00040D7F">
              <w:rPr>
                <w:i/>
                <w:iCs/>
              </w:rPr>
              <w:t>Tehničar za održavanje sustava naplate parkiranja</w:t>
            </w:r>
          </w:p>
        </w:tc>
        <w:tc>
          <w:tcPr>
            <w:tcW w:w="2136" w:type="dxa"/>
            <w:vAlign w:val="center"/>
          </w:tcPr>
          <w:p w14:paraId="31812F01" w14:textId="13DE24EA" w:rsidR="00040D7F" w:rsidRPr="00040D7F" w:rsidRDefault="00040D7F" w:rsidP="00A5084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IV/namještenik II /1.</w:t>
            </w:r>
          </w:p>
        </w:tc>
        <w:tc>
          <w:tcPr>
            <w:tcW w:w="943" w:type="dxa"/>
            <w:vAlign w:val="center"/>
          </w:tcPr>
          <w:p w14:paraId="43F4FFCC" w14:textId="4C3AE05A" w:rsidR="00040D7F" w:rsidRPr="00040D7F" w:rsidRDefault="00040D7F" w:rsidP="00A5084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11.</w:t>
            </w:r>
          </w:p>
        </w:tc>
        <w:tc>
          <w:tcPr>
            <w:tcW w:w="1329" w:type="dxa"/>
            <w:vAlign w:val="center"/>
          </w:tcPr>
          <w:p w14:paraId="2906050F" w14:textId="09BDB125" w:rsidR="00040D7F" w:rsidRPr="00040D7F" w:rsidRDefault="00040D7F" w:rsidP="00A5084F">
            <w:pPr>
              <w:contextualSpacing/>
              <w:jc w:val="center"/>
              <w:rPr>
                <w:i/>
                <w:iCs/>
              </w:rPr>
            </w:pPr>
            <w:r w:rsidRPr="00040D7F">
              <w:rPr>
                <w:i/>
                <w:iCs/>
              </w:rPr>
              <w:t>2,12</w:t>
            </w:r>
          </w:p>
        </w:tc>
      </w:tr>
    </w:tbl>
    <w:p w14:paraId="22C040E1" w14:textId="77777777" w:rsidR="00B50684" w:rsidRDefault="00B50684" w:rsidP="00FD0835">
      <w:pPr>
        <w:pStyle w:val="Heading2"/>
        <w:spacing w:before="160"/>
        <w:ind w:left="0" w:firstLine="708"/>
        <w:jc w:val="left"/>
        <w:rPr>
          <w:b w:val="0"/>
          <w:bCs w:val="0"/>
          <w:sz w:val="22"/>
          <w:szCs w:val="22"/>
        </w:rPr>
      </w:pPr>
    </w:p>
    <w:tbl>
      <w:tblPr>
        <w:tblW w:w="936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4200"/>
        <w:gridCol w:w="2136"/>
        <w:gridCol w:w="943"/>
        <w:gridCol w:w="1329"/>
      </w:tblGrid>
      <w:tr w:rsidR="003E0ECD" w:rsidRPr="003E0ECD" w14:paraId="6FE31252" w14:textId="77777777" w:rsidTr="00886DD9">
        <w:trPr>
          <w:trHeight w:val="315"/>
        </w:trPr>
        <w:tc>
          <w:tcPr>
            <w:tcW w:w="752" w:type="dxa"/>
            <w:hideMark/>
          </w:tcPr>
          <w:p w14:paraId="22F699C8" w14:textId="2AEDC693" w:rsidR="003E0ECD" w:rsidRPr="003E0ECD" w:rsidRDefault="003E0ECD" w:rsidP="003E0ECD">
            <w:pPr>
              <w:contextualSpacing/>
              <w:jc w:val="center"/>
              <w:rPr>
                <w:i/>
                <w:iCs/>
              </w:rPr>
            </w:pPr>
            <w:r w:rsidRPr="003E0ECD">
              <w:rPr>
                <w:i/>
                <w:iCs/>
              </w:rPr>
              <w:t>12.</w:t>
            </w:r>
          </w:p>
        </w:tc>
        <w:tc>
          <w:tcPr>
            <w:tcW w:w="4200" w:type="dxa"/>
          </w:tcPr>
          <w:p w14:paraId="69764A7F" w14:textId="1A8297AD" w:rsidR="003E0ECD" w:rsidRPr="003E0ECD" w:rsidRDefault="003E0ECD" w:rsidP="003E0ECD">
            <w:pPr>
              <w:contextualSpacing/>
              <w:rPr>
                <w:i/>
                <w:iCs/>
              </w:rPr>
            </w:pPr>
            <w:r w:rsidRPr="003E0ECD">
              <w:rPr>
                <w:i/>
                <w:iCs/>
              </w:rPr>
              <w:t>Kontrolor parkiranja</w:t>
            </w:r>
          </w:p>
        </w:tc>
        <w:tc>
          <w:tcPr>
            <w:tcW w:w="2136" w:type="dxa"/>
          </w:tcPr>
          <w:p w14:paraId="7A14D6DB" w14:textId="1A6B8838" w:rsidR="003E0ECD" w:rsidRPr="003E0ECD" w:rsidRDefault="003E0ECD" w:rsidP="003E0ECD">
            <w:pPr>
              <w:contextualSpacing/>
              <w:jc w:val="center"/>
              <w:rPr>
                <w:i/>
                <w:iCs/>
              </w:rPr>
            </w:pPr>
            <w:r w:rsidRPr="003E0ECD">
              <w:rPr>
                <w:i/>
                <w:iCs/>
              </w:rPr>
              <w:t>IV/namještenik II /2.</w:t>
            </w:r>
          </w:p>
        </w:tc>
        <w:tc>
          <w:tcPr>
            <w:tcW w:w="943" w:type="dxa"/>
          </w:tcPr>
          <w:p w14:paraId="0C837EE8" w14:textId="2E90DBE4" w:rsidR="003E0ECD" w:rsidRPr="003E0ECD" w:rsidRDefault="003E0ECD" w:rsidP="003E0ECD">
            <w:pPr>
              <w:contextualSpacing/>
              <w:jc w:val="center"/>
              <w:rPr>
                <w:i/>
                <w:iCs/>
              </w:rPr>
            </w:pPr>
            <w:r w:rsidRPr="003E0ECD">
              <w:rPr>
                <w:i/>
                <w:iCs/>
              </w:rPr>
              <w:t>13.</w:t>
            </w:r>
          </w:p>
        </w:tc>
        <w:tc>
          <w:tcPr>
            <w:tcW w:w="1329" w:type="dxa"/>
          </w:tcPr>
          <w:p w14:paraId="2BA83AC3" w14:textId="5B242577" w:rsidR="003E0ECD" w:rsidRPr="003E0ECD" w:rsidRDefault="003E0ECD" w:rsidP="003E0ECD">
            <w:pPr>
              <w:contextualSpacing/>
              <w:jc w:val="center"/>
              <w:rPr>
                <w:i/>
                <w:iCs/>
              </w:rPr>
            </w:pPr>
            <w:r w:rsidRPr="003E0ECD">
              <w:rPr>
                <w:i/>
                <w:iCs/>
              </w:rPr>
              <w:t>1,80</w:t>
            </w:r>
          </w:p>
        </w:tc>
      </w:tr>
    </w:tbl>
    <w:p w14:paraId="5BEB7644" w14:textId="77777777" w:rsidR="00B50684" w:rsidRDefault="00B50684" w:rsidP="00FD0835">
      <w:pPr>
        <w:pStyle w:val="Heading2"/>
        <w:spacing w:before="160"/>
        <w:ind w:left="0" w:firstLine="708"/>
        <w:jc w:val="left"/>
        <w:rPr>
          <w:b w:val="0"/>
          <w:bCs w:val="0"/>
          <w:sz w:val="22"/>
          <w:szCs w:val="22"/>
        </w:rPr>
      </w:pPr>
    </w:p>
    <w:p w14:paraId="4CB0A6B0" w14:textId="7C969680" w:rsidR="00EC7BBC" w:rsidRDefault="00681ACF" w:rsidP="00FD0835">
      <w:pPr>
        <w:pStyle w:val="Heading2"/>
        <w:spacing w:before="160"/>
        <w:ind w:left="0" w:firstLine="708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Radno mjesto r</w:t>
      </w:r>
      <w:r w:rsidR="00051E67">
        <w:rPr>
          <w:b w:val="0"/>
          <w:bCs w:val="0"/>
          <w:sz w:val="22"/>
          <w:szCs w:val="22"/>
        </w:rPr>
        <w:t xml:space="preserve">edni broj 13. Pomoćni kontrolor </w:t>
      </w:r>
      <w:r w:rsidR="003958E5">
        <w:rPr>
          <w:b w:val="0"/>
          <w:bCs w:val="0"/>
          <w:sz w:val="22"/>
          <w:szCs w:val="22"/>
        </w:rPr>
        <w:t>parkiranja briše se.</w:t>
      </w:r>
    </w:p>
    <w:p w14:paraId="518F0EB7" w14:textId="77777777" w:rsidR="00104975" w:rsidRDefault="00104975" w:rsidP="00FD0835">
      <w:pPr>
        <w:pStyle w:val="Heading2"/>
        <w:spacing w:before="160"/>
        <w:ind w:left="0" w:firstLine="708"/>
        <w:jc w:val="left"/>
        <w:rPr>
          <w:b w:val="0"/>
          <w:bCs w:val="0"/>
          <w:sz w:val="22"/>
          <w:szCs w:val="22"/>
        </w:rPr>
      </w:pPr>
    </w:p>
    <w:p w14:paraId="1BDD3F56" w14:textId="3C307221" w:rsidR="00FD0835" w:rsidRDefault="00FD0835" w:rsidP="000A1808">
      <w:pPr>
        <w:pStyle w:val="Heading2"/>
        <w:spacing w:before="16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Članak </w:t>
      </w:r>
      <w:r w:rsidR="00C1037A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14:paraId="726CFD43" w14:textId="3454D63A" w:rsidR="005D6176" w:rsidRDefault="005D6176" w:rsidP="005D6176">
      <w:pPr>
        <w:ind w:right="402" w:firstLine="708"/>
        <w:jc w:val="both"/>
        <w:rPr>
          <w:rFonts w:eastAsia="Calibri"/>
          <w:bCs/>
          <w:lang w:eastAsia="hr-HR"/>
        </w:rPr>
      </w:pPr>
      <w:r>
        <w:rPr>
          <w:rFonts w:eastAsia="Calibri"/>
          <w:bCs/>
          <w:lang w:eastAsia="hr-HR"/>
        </w:rPr>
        <w:t>Č</w:t>
      </w:r>
      <w:r w:rsidRPr="00EB4154">
        <w:rPr>
          <w:rFonts w:eastAsia="Calibri"/>
          <w:bCs/>
          <w:lang w:eastAsia="hr-HR"/>
        </w:rPr>
        <w:t xml:space="preserve">lanak </w:t>
      </w:r>
      <w:r>
        <w:rPr>
          <w:rFonts w:eastAsia="Calibri"/>
          <w:bCs/>
          <w:lang w:eastAsia="hr-HR"/>
        </w:rPr>
        <w:t>4</w:t>
      </w:r>
      <w:r w:rsidRPr="00EB4154">
        <w:rPr>
          <w:rFonts w:eastAsia="Calibri"/>
          <w:bCs/>
          <w:lang w:eastAsia="hr-HR"/>
        </w:rPr>
        <w:t>. briše se.</w:t>
      </w:r>
    </w:p>
    <w:p w14:paraId="3254988C" w14:textId="77777777" w:rsidR="005D6176" w:rsidRDefault="005D6176" w:rsidP="000A1808">
      <w:pPr>
        <w:pStyle w:val="Heading2"/>
        <w:spacing w:before="160"/>
        <w:ind w:left="0"/>
        <w:rPr>
          <w:sz w:val="22"/>
          <w:szCs w:val="22"/>
        </w:rPr>
      </w:pPr>
    </w:p>
    <w:p w14:paraId="0B41B610" w14:textId="0B67F597" w:rsidR="00610909" w:rsidRDefault="00610909" w:rsidP="000A1808">
      <w:pPr>
        <w:pStyle w:val="Heading2"/>
        <w:spacing w:before="160"/>
        <w:ind w:left="0"/>
        <w:rPr>
          <w:spacing w:val="-5"/>
          <w:sz w:val="22"/>
          <w:szCs w:val="22"/>
        </w:rPr>
      </w:pPr>
      <w:r w:rsidRPr="00360A31">
        <w:rPr>
          <w:sz w:val="22"/>
          <w:szCs w:val="22"/>
        </w:rPr>
        <w:t>Članak</w:t>
      </w:r>
      <w:r w:rsidRPr="00360A31">
        <w:rPr>
          <w:spacing w:val="-4"/>
          <w:sz w:val="22"/>
          <w:szCs w:val="22"/>
        </w:rPr>
        <w:t xml:space="preserve"> </w:t>
      </w:r>
      <w:r w:rsidR="00C1037A">
        <w:rPr>
          <w:spacing w:val="-4"/>
          <w:sz w:val="22"/>
          <w:szCs w:val="22"/>
        </w:rPr>
        <w:t>6</w:t>
      </w:r>
      <w:r w:rsidRPr="00360A31">
        <w:rPr>
          <w:spacing w:val="-5"/>
          <w:sz w:val="22"/>
          <w:szCs w:val="22"/>
        </w:rPr>
        <w:t>.</w:t>
      </w:r>
    </w:p>
    <w:p w14:paraId="4FF12D16" w14:textId="77777777" w:rsidR="00610909" w:rsidRPr="00360A31" w:rsidRDefault="00610909" w:rsidP="00E66329">
      <w:pPr>
        <w:ind w:firstLine="708"/>
        <w:jc w:val="both"/>
      </w:pPr>
      <w:r w:rsidRPr="00360A31">
        <w:t>Ova Odluka stupa na snagu osmi dan od dana objave u „Glasniku Grada Karlovca“.</w:t>
      </w:r>
    </w:p>
    <w:p w14:paraId="2326D0C8" w14:textId="77777777" w:rsidR="00610909" w:rsidRPr="00360A31" w:rsidRDefault="00610909" w:rsidP="000A1808">
      <w:pPr>
        <w:jc w:val="both"/>
      </w:pPr>
    </w:p>
    <w:p w14:paraId="44DDDF94" w14:textId="77777777" w:rsidR="00610909" w:rsidRPr="00360A31" w:rsidRDefault="00610909" w:rsidP="000A1808">
      <w:pPr>
        <w:jc w:val="both"/>
      </w:pPr>
    </w:p>
    <w:p w14:paraId="4A7F6846" w14:textId="23F75A27" w:rsidR="007F099E" w:rsidRPr="00360A31" w:rsidRDefault="00610909" w:rsidP="00A559F4">
      <w:pPr>
        <w:pStyle w:val="Heading1"/>
        <w:spacing w:line="249" w:lineRule="auto"/>
        <w:ind w:left="5670" w:right="-279" w:firstLine="0"/>
        <w:jc w:val="center"/>
        <w:rPr>
          <w:spacing w:val="-2"/>
          <w:sz w:val="22"/>
          <w:szCs w:val="22"/>
        </w:rPr>
      </w:pPr>
      <w:r w:rsidRPr="00360A31">
        <w:rPr>
          <w:spacing w:val="-2"/>
          <w:sz w:val="22"/>
          <w:szCs w:val="22"/>
        </w:rPr>
        <w:t>PREDSJEDNIK</w:t>
      </w:r>
    </w:p>
    <w:p w14:paraId="00D9FBF3" w14:textId="15FDF3D1" w:rsidR="00610909" w:rsidRPr="00360A31" w:rsidRDefault="00610909" w:rsidP="00A559F4">
      <w:pPr>
        <w:pStyle w:val="Heading1"/>
        <w:spacing w:line="249" w:lineRule="auto"/>
        <w:ind w:left="5670" w:right="-279" w:firstLine="0"/>
        <w:jc w:val="center"/>
        <w:rPr>
          <w:sz w:val="22"/>
          <w:szCs w:val="22"/>
        </w:rPr>
      </w:pPr>
      <w:r w:rsidRPr="00360A31">
        <w:rPr>
          <w:sz w:val="22"/>
          <w:szCs w:val="22"/>
        </w:rPr>
        <w:t>GRADSKOG</w:t>
      </w:r>
      <w:r w:rsidRPr="00360A31">
        <w:rPr>
          <w:spacing w:val="-15"/>
          <w:sz w:val="22"/>
          <w:szCs w:val="22"/>
        </w:rPr>
        <w:t xml:space="preserve"> </w:t>
      </w:r>
      <w:r w:rsidRPr="00360A31">
        <w:rPr>
          <w:sz w:val="22"/>
          <w:szCs w:val="22"/>
        </w:rPr>
        <w:t>VIJEĆA</w:t>
      </w:r>
    </w:p>
    <w:p w14:paraId="45A34AF4" w14:textId="77777777" w:rsidR="00610909" w:rsidRPr="00360A31" w:rsidRDefault="00610909" w:rsidP="00A559F4">
      <w:pPr>
        <w:pStyle w:val="BodyText"/>
        <w:spacing w:before="7"/>
        <w:ind w:left="5670" w:right="-279"/>
        <w:jc w:val="center"/>
        <w:rPr>
          <w:b/>
          <w:sz w:val="22"/>
          <w:szCs w:val="22"/>
        </w:rPr>
      </w:pPr>
    </w:p>
    <w:p w14:paraId="2657F6F8" w14:textId="77777777" w:rsidR="00723FA2" w:rsidRPr="00FC1E64" w:rsidRDefault="00723FA2" w:rsidP="00A559F4">
      <w:pPr>
        <w:ind w:left="5670" w:right="-279"/>
        <w:jc w:val="center"/>
      </w:pPr>
      <w:r>
        <w:t>Mario Jovković, mag.</w:t>
      </w:r>
      <w:r w:rsidRPr="00E542C3">
        <w:t xml:space="preserve"> </w:t>
      </w:r>
      <w:proofErr w:type="spellStart"/>
      <w:r w:rsidRPr="00E542C3">
        <w:t>psych</w:t>
      </w:r>
      <w:proofErr w:type="spellEnd"/>
      <w:r w:rsidRPr="00E542C3">
        <w:t>.</w:t>
      </w:r>
    </w:p>
    <w:p w14:paraId="700CF5CD" w14:textId="2E411BD3" w:rsidR="00610909" w:rsidRPr="00360A31" w:rsidRDefault="00610909" w:rsidP="000A1808">
      <w:pPr>
        <w:ind w:right="402"/>
        <w:jc w:val="center"/>
        <w:rPr>
          <w:b/>
        </w:rPr>
      </w:pPr>
    </w:p>
    <w:p w14:paraId="4B40EC38" w14:textId="77777777" w:rsidR="00BD7E66" w:rsidRDefault="00BD7E66" w:rsidP="000A1808">
      <w:pPr>
        <w:ind w:right="402"/>
        <w:jc w:val="center"/>
        <w:rPr>
          <w:b/>
        </w:rPr>
      </w:pPr>
    </w:p>
    <w:p w14:paraId="48300DD8" w14:textId="5ED9EC3F" w:rsidR="00BD7E66" w:rsidRPr="00360A31" w:rsidRDefault="00BD7E66" w:rsidP="000A1808">
      <w:pPr>
        <w:widowControl/>
        <w:autoSpaceDE/>
        <w:autoSpaceDN/>
        <w:spacing w:after="200" w:line="276" w:lineRule="auto"/>
        <w:jc w:val="center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O b r a z l o ž e nj e</w:t>
      </w:r>
    </w:p>
    <w:p w14:paraId="7B7CD030" w14:textId="17EDDD4F" w:rsidR="002204E7" w:rsidRDefault="00982FF2" w:rsidP="000A1808">
      <w:pPr>
        <w:widowControl/>
        <w:autoSpaceDE/>
        <w:autoSpaceDN/>
        <w:spacing w:after="200" w:line="276" w:lineRule="auto"/>
        <w:jc w:val="both"/>
        <w:rPr>
          <w:rFonts w:eastAsia="Calibri"/>
          <w14:ligatures w14:val="none"/>
        </w:rPr>
      </w:pPr>
      <w:bookmarkStart w:id="2" w:name="_Hlk25750698"/>
      <w:bookmarkStart w:id="3" w:name="_Hlk24533931"/>
      <w:r>
        <w:rPr>
          <w:rFonts w:eastAsia="Calibri"/>
          <w14:ligatures w14:val="none"/>
        </w:rPr>
        <w:t>U</w:t>
      </w:r>
      <w:r w:rsidRPr="00982FF2">
        <w:rPr>
          <w:rFonts w:eastAsia="Calibri"/>
          <w14:ligatures w14:val="none"/>
        </w:rPr>
        <w:t xml:space="preserve"> važećoj </w:t>
      </w:r>
      <w:r w:rsidR="00494AE6" w:rsidRPr="00494AE6">
        <w:rPr>
          <w:rFonts w:eastAsia="Calibri"/>
          <w14:ligatures w14:val="none"/>
        </w:rPr>
        <w:t>Odlu</w:t>
      </w:r>
      <w:r w:rsidR="00494AE6">
        <w:rPr>
          <w:rFonts w:eastAsia="Calibri"/>
          <w14:ligatures w14:val="none"/>
        </w:rPr>
        <w:t>ci</w:t>
      </w:r>
      <w:r w:rsidR="00494AE6" w:rsidRPr="00494AE6">
        <w:rPr>
          <w:rFonts w:eastAsia="Calibri"/>
          <w14:ligatures w14:val="none"/>
        </w:rPr>
        <w:t xml:space="preserve"> o koeficijentima za obračun plaća službenika i namještenika  u upravnim tijelima Grada Karlovca</w:t>
      </w:r>
      <w:r w:rsidR="00ED3A50">
        <w:rPr>
          <w:rFonts w:eastAsia="Calibri"/>
          <w14:ligatures w14:val="none"/>
        </w:rPr>
        <w:t xml:space="preserve"> potrebno je izvršiti i</w:t>
      </w:r>
      <w:r w:rsidR="00107D66" w:rsidRPr="00107D66">
        <w:rPr>
          <w:rFonts w:eastAsia="Calibri"/>
          <w14:ligatures w14:val="none"/>
        </w:rPr>
        <w:t xml:space="preserve">zmjene radi usklađivanja s odredbama Zakona o plaćama u lokalnoj i područnoj (regionalnoj) samoupravi („Narodne novine“ br. 28/10., 10/23.) te Uredbe o klasifikaciji radnih mjesta u lokalnoj i područnoj (regionalnoj) samoupravi („Narodne novine“ br. 74/10., 125/14., 48/23.). Navedeni propisi utvrđuju obvezu da koeficijente za obračun plaća određuje </w:t>
      </w:r>
      <w:r w:rsidR="008C0F87">
        <w:rPr>
          <w:rFonts w:eastAsia="Calibri"/>
          <w14:ligatures w14:val="none"/>
        </w:rPr>
        <w:t>gradsko vijeće</w:t>
      </w:r>
      <w:r w:rsidR="00107D66" w:rsidRPr="00107D66">
        <w:rPr>
          <w:rFonts w:eastAsia="Calibri"/>
          <w14:ligatures w14:val="none"/>
        </w:rPr>
        <w:t xml:space="preserve"> na prijedlog gradonačelnika, uz primjenu standardnih mjerila za klasifikaciju radnih mjesta. Ta mjerila obuhvaćaju razinu stručnog znanja, složenost poslova, samostalnost u radu, stupanj suradnje i komunikacije te </w:t>
      </w:r>
      <w:r w:rsidR="00107D66" w:rsidRPr="00107D66">
        <w:rPr>
          <w:rFonts w:eastAsia="Calibri"/>
          <w14:ligatures w14:val="none"/>
        </w:rPr>
        <w:lastRenderedPageBreak/>
        <w:t xml:space="preserve">odgovornost i utjecaj na donošenje odluka, a primjenjuju se i na radna mjesta namještenika. Izmjenama se osigurava usklađenost s važećim zakonskim </w:t>
      </w:r>
      <w:r w:rsidR="00ED3A50">
        <w:rPr>
          <w:rFonts w:eastAsia="Calibri"/>
          <w14:ligatures w14:val="none"/>
        </w:rPr>
        <w:t>odredbama</w:t>
      </w:r>
      <w:r w:rsidR="00107D66" w:rsidRPr="00107D66">
        <w:rPr>
          <w:rFonts w:eastAsia="Calibri"/>
          <w14:ligatures w14:val="none"/>
        </w:rPr>
        <w:t xml:space="preserve"> i uredbama. </w:t>
      </w:r>
    </w:p>
    <w:p w14:paraId="2B74CC70" w14:textId="466C0727" w:rsidR="00BD7E66" w:rsidRPr="00360A31" w:rsidRDefault="00BD7E66" w:rsidP="000A1808">
      <w:pPr>
        <w:widowControl/>
        <w:autoSpaceDE/>
        <w:autoSpaceDN/>
        <w:spacing w:after="200" w:line="276" w:lineRule="auto"/>
        <w:jc w:val="both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Sukladno navedenom predlaže se Gradskom vijeću da istu donese.</w:t>
      </w:r>
    </w:p>
    <w:bookmarkEnd w:id="2"/>
    <w:p w14:paraId="5E1C1E4E" w14:textId="77777777" w:rsidR="00EB4128" w:rsidRPr="00360A31" w:rsidRDefault="00EB4128" w:rsidP="000A1808">
      <w:pPr>
        <w:widowControl/>
        <w:autoSpaceDE/>
        <w:autoSpaceDN/>
        <w:spacing w:line="276" w:lineRule="auto"/>
        <w:jc w:val="center"/>
        <w:rPr>
          <w:rFonts w:eastAsia="Calibri"/>
          <w:b/>
          <w:bCs/>
          <w14:ligatures w14:val="none"/>
        </w:rPr>
      </w:pPr>
    </w:p>
    <w:p w14:paraId="42E92830" w14:textId="48B18A86" w:rsidR="00BD7E66" w:rsidRPr="00360A31" w:rsidRDefault="00BD7E66" w:rsidP="00A559F4">
      <w:pPr>
        <w:widowControl/>
        <w:autoSpaceDE/>
        <w:autoSpaceDN/>
        <w:spacing w:line="276" w:lineRule="auto"/>
        <w:ind w:left="5670"/>
        <w:jc w:val="center"/>
        <w:rPr>
          <w:rFonts w:eastAsia="Calibri"/>
          <w:b/>
          <w:bCs/>
          <w14:ligatures w14:val="none"/>
        </w:rPr>
      </w:pPr>
      <w:r w:rsidRPr="00360A31">
        <w:rPr>
          <w:rFonts w:eastAsia="Calibri"/>
          <w:b/>
          <w:bCs/>
          <w14:ligatures w14:val="none"/>
        </w:rPr>
        <w:t>Upravni odjel za poslove gradonačelnika</w:t>
      </w:r>
    </w:p>
    <w:p w14:paraId="0AAF6DF8" w14:textId="6773B45A" w:rsidR="00BD7E66" w:rsidRPr="00360A31" w:rsidRDefault="00B1016E" w:rsidP="00A559F4">
      <w:pPr>
        <w:widowControl/>
        <w:autoSpaceDE/>
        <w:autoSpaceDN/>
        <w:spacing w:line="276" w:lineRule="auto"/>
        <w:ind w:left="5670"/>
        <w:jc w:val="center"/>
        <w:rPr>
          <w:rFonts w:eastAsia="Calibri"/>
          <w14:ligatures w14:val="none"/>
        </w:rPr>
      </w:pPr>
      <w:r>
        <w:rPr>
          <w:rFonts w:eastAsia="Calibri"/>
          <w14:ligatures w14:val="none"/>
        </w:rPr>
        <w:t>P</w:t>
      </w:r>
      <w:r w:rsidR="00BD7E66" w:rsidRPr="00360A31">
        <w:rPr>
          <w:rFonts w:eastAsia="Calibri"/>
          <w14:ligatures w14:val="none"/>
        </w:rPr>
        <w:t>ročelnic</w:t>
      </w:r>
      <w:r>
        <w:rPr>
          <w:rFonts w:eastAsia="Calibri"/>
          <w14:ligatures w14:val="none"/>
        </w:rPr>
        <w:t>a</w:t>
      </w:r>
    </w:p>
    <w:p w14:paraId="071A7992" w14:textId="77777777" w:rsidR="00BD7E66" w:rsidRPr="00360A31" w:rsidRDefault="00BD7E66" w:rsidP="00A559F4">
      <w:pPr>
        <w:widowControl/>
        <w:autoSpaceDE/>
        <w:autoSpaceDN/>
        <w:spacing w:line="276" w:lineRule="auto"/>
        <w:ind w:left="5670"/>
        <w:jc w:val="center"/>
        <w:rPr>
          <w:rFonts w:eastAsia="Calibri"/>
          <w:b/>
          <w:bCs/>
          <w14:ligatures w14:val="none"/>
        </w:rPr>
      </w:pPr>
    </w:p>
    <w:p w14:paraId="32A48B05" w14:textId="77777777" w:rsidR="00BD7E66" w:rsidRPr="00360A31" w:rsidRDefault="00BD7E66" w:rsidP="00A559F4">
      <w:pPr>
        <w:widowControl/>
        <w:autoSpaceDE/>
        <w:autoSpaceDN/>
        <w:spacing w:after="200" w:line="276" w:lineRule="auto"/>
        <w:ind w:left="5670"/>
        <w:jc w:val="center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Dijana Kujinek, mag. nov.</w:t>
      </w:r>
    </w:p>
    <w:bookmarkEnd w:id="3"/>
    <w:p w14:paraId="22F4D281" w14:textId="573620F6" w:rsidR="00BD7E66" w:rsidRPr="00360A31" w:rsidRDefault="00BD7E66" w:rsidP="000A1808">
      <w:pPr>
        <w:widowControl/>
        <w:autoSpaceDE/>
        <w:autoSpaceDN/>
        <w:spacing w:after="200"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DOSTAVITI:</w:t>
      </w:r>
    </w:p>
    <w:p w14:paraId="253C69F2" w14:textId="46BBD485" w:rsidR="00BD7E66" w:rsidRPr="00360A31" w:rsidRDefault="00BD7E66" w:rsidP="000A180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0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Upravni odjel za poslove gradonačelnika, ovdje</w:t>
      </w:r>
    </w:p>
    <w:p w14:paraId="19B91C8B" w14:textId="77777777" w:rsidR="00BD7E66" w:rsidRPr="00360A31" w:rsidRDefault="00BD7E66" w:rsidP="000A180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0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Predsjednik Gradskog vijeća, ovdje</w:t>
      </w:r>
    </w:p>
    <w:p w14:paraId="6D88B9BD" w14:textId="77777777" w:rsidR="00BD7E66" w:rsidRPr="00360A31" w:rsidRDefault="00BD7E66" w:rsidP="000A180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0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Dokumentacija</w:t>
      </w:r>
    </w:p>
    <w:p w14:paraId="314A7F2C" w14:textId="77777777" w:rsidR="00BD7E66" w:rsidRPr="00360A31" w:rsidRDefault="00BD7E66" w:rsidP="000A180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0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Glasnik Grada Karlovac</w:t>
      </w:r>
    </w:p>
    <w:p w14:paraId="11FD8A09" w14:textId="77777777" w:rsidR="00BD7E66" w:rsidRPr="00360A31" w:rsidRDefault="00BD7E66" w:rsidP="000A180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0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Zapisnik</w:t>
      </w:r>
    </w:p>
    <w:p w14:paraId="46A546F2" w14:textId="77777777" w:rsidR="00BD7E66" w:rsidRPr="00360A31" w:rsidRDefault="00BD7E66" w:rsidP="000A1808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0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Pismohrana</w:t>
      </w:r>
    </w:p>
    <w:sectPr w:rsidR="00BD7E66" w:rsidRPr="00360A31" w:rsidSect="006D1F1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19A25" w14:textId="77777777" w:rsidR="006B1F10" w:rsidRDefault="006B1F10">
      <w:r>
        <w:separator/>
      </w:r>
    </w:p>
  </w:endnote>
  <w:endnote w:type="continuationSeparator" w:id="0">
    <w:p w14:paraId="04D63AEA" w14:textId="77777777" w:rsidR="006B1F10" w:rsidRDefault="006B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0E6E9" w14:textId="77777777" w:rsidR="006B1F10" w:rsidRDefault="006B1F10">
      <w:r>
        <w:separator/>
      </w:r>
    </w:p>
  </w:footnote>
  <w:footnote w:type="continuationSeparator" w:id="0">
    <w:p w14:paraId="55905C57" w14:textId="77777777" w:rsidR="006B1F10" w:rsidRDefault="006B1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C61C" w14:textId="28214C08" w:rsidR="00F553F1" w:rsidRDefault="00F124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82CC5D" wp14:editId="18985C80">
              <wp:simplePos x="0" y="0"/>
              <wp:positionH relativeFrom="page">
                <wp:posOffset>3657600</wp:posOffset>
              </wp:positionH>
              <wp:positionV relativeFrom="page">
                <wp:posOffset>464185</wp:posOffset>
              </wp:positionV>
              <wp:extent cx="247015" cy="165735"/>
              <wp:effectExtent l="0" t="0" r="0" b="0"/>
              <wp:wrapNone/>
              <wp:docPr id="125944627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01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C4C384" w14:textId="77777777" w:rsidR="00F553F1" w:rsidRDefault="004A7A8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-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2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82CC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in;margin-top:36.55pt;width:19.45pt;height:13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" filled="f" stroked="f">
              <v:textbox inset="0,0,0,0">
                <w:txbxContent>
                  <w:p w14:paraId="77C4C384" w14:textId="77777777" w:rsidR="00F553F1" w:rsidRDefault="004A7A8A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-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2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336E"/>
    <w:multiLevelType w:val="hybridMultilevel"/>
    <w:tmpl w:val="7BAE418A"/>
    <w:lvl w:ilvl="0" w:tplc="BF0A7FCA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7065422">
      <w:numFmt w:val="bullet"/>
      <w:lvlText w:val="•"/>
      <w:lvlJc w:val="left"/>
      <w:pPr>
        <w:ind w:left="1416" w:hanging="428"/>
      </w:pPr>
      <w:rPr>
        <w:rFonts w:hint="default"/>
        <w:lang w:val="hr-HR" w:eastAsia="en-US" w:bidi="ar-SA"/>
      </w:rPr>
    </w:lvl>
    <w:lvl w:ilvl="2" w:tplc="0D54D5F8">
      <w:numFmt w:val="bullet"/>
      <w:lvlText w:val="•"/>
      <w:lvlJc w:val="left"/>
      <w:pPr>
        <w:ind w:left="2293" w:hanging="428"/>
      </w:pPr>
      <w:rPr>
        <w:rFonts w:hint="default"/>
        <w:lang w:val="hr-HR" w:eastAsia="en-US" w:bidi="ar-SA"/>
      </w:rPr>
    </w:lvl>
    <w:lvl w:ilvl="3" w:tplc="1D9A1036">
      <w:numFmt w:val="bullet"/>
      <w:lvlText w:val="•"/>
      <w:lvlJc w:val="left"/>
      <w:pPr>
        <w:ind w:left="3169" w:hanging="428"/>
      </w:pPr>
      <w:rPr>
        <w:rFonts w:hint="default"/>
        <w:lang w:val="hr-HR" w:eastAsia="en-US" w:bidi="ar-SA"/>
      </w:rPr>
    </w:lvl>
    <w:lvl w:ilvl="4" w:tplc="3D86B374">
      <w:numFmt w:val="bullet"/>
      <w:lvlText w:val="•"/>
      <w:lvlJc w:val="left"/>
      <w:pPr>
        <w:ind w:left="4046" w:hanging="428"/>
      </w:pPr>
      <w:rPr>
        <w:rFonts w:hint="default"/>
        <w:lang w:val="hr-HR" w:eastAsia="en-US" w:bidi="ar-SA"/>
      </w:rPr>
    </w:lvl>
    <w:lvl w:ilvl="5" w:tplc="EE24826A">
      <w:numFmt w:val="bullet"/>
      <w:lvlText w:val="•"/>
      <w:lvlJc w:val="left"/>
      <w:pPr>
        <w:ind w:left="4923" w:hanging="428"/>
      </w:pPr>
      <w:rPr>
        <w:rFonts w:hint="default"/>
        <w:lang w:val="hr-HR" w:eastAsia="en-US" w:bidi="ar-SA"/>
      </w:rPr>
    </w:lvl>
    <w:lvl w:ilvl="6" w:tplc="BB3C6A80">
      <w:numFmt w:val="bullet"/>
      <w:lvlText w:val="•"/>
      <w:lvlJc w:val="left"/>
      <w:pPr>
        <w:ind w:left="5799" w:hanging="428"/>
      </w:pPr>
      <w:rPr>
        <w:rFonts w:hint="default"/>
        <w:lang w:val="hr-HR" w:eastAsia="en-US" w:bidi="ar-SA"/>
      </w:rPr>
    </w:lvl>
    <w:lvl w:ilvl="7" w:tplc="4468D69C">
      <w:numFmt w:val="bullet"/>
      <w:lvlText w:val="•"/>
      <w:lvlJc w:val="left"/>
      <w:pPr>
        <w:ind w:left="6676" w:hanging="428"/>
      </w:pPr>
      <w:rPr>
        <w:rFonts w:hint="default"/>
        <w:lang w:val="hr-HR" w:eastAsia="en-US" w:bidi="ar-SA"/>
      </w:rPr>
    </w:lvl>
    <w:lvl w:ilvl="8" w:tplc="ABEC262A">
      <w:numFmt w:val="bullet"/>
      <w:lvlText w:val="•"/>
      <w:lvlJc w:val="left"/>
      <w:pPr>
        <w:ind w:left="7553" w:hanging="428"/>
      </w:pPr>
      <w:rPr>
        <w:rFonts w:hint="default"/>
        <w:lang w:val="hr-HR" w:eastAsia="en-US" w:bidi="ar-SA"/>
      </w:rPr>
    </w:lvl>
  </w:abstractNum>
  <w:abstractNum w:abstractNumId="1" w15:restartNumberingAfterBreak="0">
    <w:nsid w:val="26D44D55"/>
    <w:multiLevelType w:val="hybridMultilevel"/>
    <w:tmpl w:val="F6187A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4539"/>
    <w:multiLevelType w:val="hybridMultilevel"/>
    <w:tmpl w:val="D31C611E"/>
    <w:lvl w:ilvl="0" w:tplc="2FA65F08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4840465C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87843D6C">
      <w:numFmt w:val="bullet"/>
      <w:lvlText w:val="•"/>
      <w:lvlJc w:val="left"/>
      <w:pPr>
        <w:ind w:left="1638" w:hanging="140"/>
      </w:pPr>
      <w:rPr>
        <w:rFonts w:hint="default"/>
        <w:lang w:val="hr-HR" w:eastAsia="en-US" w:bidi="ar-SA"/>
      </w:rPr>
    </w:lvl>
    <w:lvl w:ilvl="3" w:tplc="E858207C">
      <w:numFmt w:val="bullet"/>
      <w:lvlText w:val="•"/>
      <w:lvlJc w:val="left"/>
      <w:pPr>
        <w:ind w:left="2596" w:hanging="140"/>
      </w:pPr>
      <w:rPr>
        <w:rFonts w:hint="default"/>
        <w:lang w:val="hr-HR" w:eastAsia="en-US" w:bidi="ar-SA"/>
      </w:rPr>
    </w:lvl>
    <w:lvl w:ilvl="4" w:tplc="A288CAF0">
      <w:numFmt w:val="bullet"/>
      <w:lvlText w:val="•"/>
      <w:lvlJc w:val="left"/>
      <w:pPr>
        <w:ind w:left="3555" w:hanging="140"/>
      </w:pPr>
      <w:rPr>
        <w:rFonts w:hint="default"/>
        <w:lang w:val="hr-HR" w:eastAsia="en-US" w:bidi="ar-SA"/>
      </w:rPr>
    </w:lvl>
    <w:lvl w:ilvl="5" w:tplc="03EA8FA8">
      <w:numFmt w:val="bullet"/>
      <w:lvlText w:val="•"/>
      <w:lvlJc w:val="left"/>
      <w:pPr>
        <w:ind w:left="4513" w:hanging="140"/>
      </w:pPr>
      <w:rPr>
        <w:rFonts w:hint="default"/>
        <w:lang w:val="hr-HR" w:eastAsia="en-US" w:bidi="ar-SA"/>
      </w:rPr>
    </w:lvl>
    <w:lvl w:ilvl="6" w:tplc="A9C214B6">
      <w:numFmt w:val="bullet"/>
      <w:lvlText w:val="•"/>
      <w:lvlJc w:val="left"/>
      <w:pPr>
        <w:ind w:left="5472" w:hanging="140"/>
      </w:pPr>
      <w:rPr>
        <w:rFonts w:hint="default"/>
        <w:lang w:val="hr-HR" w:eastAsia="en-US" w:bidi="ar-SA"/>
      </w:rPr>
    </w:lvl>
    <w:lvl w:ilvl="7" w:tplc="D9704198">
      <w:numFmt w:val="bullet"/>
      <w:lvlText w:val="•"/>
      <w:lvlJc w:val="left"/>
      <w:pPr>
        <w:ind w:left="6430" w:hanging="140"/>
      </w:pPr>
      <w:rPr>
        <w:rFonts w:hint="default"/>
        <w:lang w:val="hr-HR" w:eastAsia="en-US" w:bidi="ar-SA"/>
      </w:rPr>
    </w:lvl>
    <w:lvl w:ilvl="8" w:tplc="C10C62CC">
      <w:numFmt w:val="bullet"/>
      <w:lvlText w:val="•"/>
      <w:lvlJc w:val="left"/>
      <w:pPr>
        <w:ind w:left="7389" w:hanging="140"/>
      </w:pPr>
      <w:rPr>
        <w:rFonts w:hint="default"/>
        <w:lang w:val="hr-HR" w:eastAsia="en-US" w:bidi="ar-SA"/>
      </w:rPr>
    </w:lvl>
  </w:abstractNum>
  <w:abstractNum w:abstractNumId="3" w15:restartNumberingAfterBreak="0">
    <w:nsid w:val="392913C4"/>
    <w:multiLevelType w:val="hybridMultilevel"/>
    <w:tmpl w:val="F3A21C88"/>
    <w:lvl w:ilvl="0" w:tplc="0B5E57A8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2E6063D8">
      <w:numFmt w:val="bullet"/>
      <w:lvlText w:val="•"/>
      <w:lvlJc w:val="left"/>
      <w:pPr>
        <w:ind w:left="1416" w:hanging="428"/>
      </w:pPr>
      <w:rPr>
        <w:rFonts w:hint="default"/>
        <w:lang w:val="hr-HR" w:eastAsia="en-US" w:bidi="ar-SA"/>
      </w:rPr>
    </w:lvl>
    <w:lvl w:ilvl="2" w:tplc="CE7C08A4">
      <w:numFmt w:val="bullet"/>
      <w:lvlText w:val="•"/>
      <w:lvlJc w:val="left"/>
      <w:pPr>
        <w:ind w:left="2293" w:hanging="428"/>
      </w:pPr>
      <w:rPr>
        <w:rFonts w:hint="default"/>
        <w:lang w:val="hr-HR" w:eastAsia="en-US" w:bidi="ar-SA"/>
      </w:rPr>
    </w:lvl>
    <w:lvl w:ilvl="3" w:tplc="E2601D08">
      <w:numFmt w:val="bullet"/>
      <w:lvlText w:val="•"/>
      <w:lvlJc w:val="left"/>
      <w:pPr>
        <w:ind w:left="3169" w:hanging="428"/>
      </w:pPr>
      <w:rPr>
        <w:rFonts w:hint="default"/>
        <w:lang w:val="hr-HR" w:eastAsia="en-US" w:bidi="ar-SA"/>
      </w:rPr>
    </w:lvl>
    <w:lvl w:ilvl="4" w:tplc="0CBA980E">
      <w:numFmt w:val="bullet"/>
      <w:lvlText w:val="•"/>
      <w:lvlJc w:val="left"/>
      <w:pPr>
        <w:ind w:left="4046" w:hanging="428"/>
      </w:pPr>
      <w:rPr>
        <w:rFonts w:hint="default"/>
        <w:lang w:val="hr-HR" w:eastAsia="en-US" w:bidi="ar-SA"/>
      </w:rPr>
    </w:lvl>
    <w:lvl w:ilvl="5" w:tplc="C80AA7AE">
      <w:numFmt w:val="bullet"/>
      <w:lvlText w:val="•"/>
      <w:lvlJc w:val="left"/>
      <w:pPr>
        <w:ind w:left="4923" w:hanging="428"/>
      </w:pPr>
      <w:rPr>
        <w:rFonts w:hint="default"/>
        <w:lang w:val="hr-HR" w:eastAsia="en-US" w:bidi="ar-SA"/>
      </w:rPr>
    </w:lvl>
    <w:lvl w:ilvl="6" w:tplc="5150BB04">
      <w:numFmt w:val="bullet"/>
      <w:lvlText w:val="•"/>
      <w:lvlJc w:val="left"/>
      <w:pPr>
        <w:ind w:left="5799" w:hanging="428"/>
      </w:pPr>
      <w:rPr>
        <w:rFonts w:hint="default"/>
        <w:lang w:val="hr-HR" w:eastAsia="en-US" w:bidi="ar-SA"/>
      </w:rPr>
    </w:lvl>
    <w:lvl w:ilvl="7" w:tplc="1F42755C">
      <w:numFmt w:val="bullet"/>
      <w:lvlText w:val="•"/>
      <w:lvlJc w:val="left"/>
      <w:pPr>
        <w:ind w:left="6676" w:hanging="428"/>
      </w:pPr>
      <w:rPr>
        <w:rFonts w:hint="default"/>
        <w:lang w:val="hr-HR" w:eastAsia="en-US" w:bidi="ar-SA"/>
      </w:rPr>
    </w:lvl>
    <w:lvl w:ilvl="8" w:tplc="C922C386">
      <w:numFmt w:val="bullet"/>
      <w:lvlText w:val="•"/>
      <w:lvlJc w:val="left"/>
      <w:pPr>
        <w:ind w:left="7553" w:hanging="428"/>
      </w:pPr>
      <w:rPr>
        <w:rFonts w:hint="default"/>
        <w:lang w:val="hr-HR" w:eastAsia="en-US" w:bidi="ar-SA"/>
      </w:rPr>
    </w:lvl>
  </w:abstractNum>
  <w:num w:numId="1" w16cid:durableId="853228933">
    <w:abstractNumId w:val="3"/>
  </w:num>
  <w:num w:numId="2" w16cid:durableId="200825379">
    <w:abstractNumId w:val="0"/>
  </w:num>
  <w:num w:numId="3" w16cid:durableId="211381963">
    <w:abstractNumId w:val="2"/>
  </w:num>
  <w:num w:numId="4" w16cid:durableId="1287007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09"/>
    <w:rsid w:val="00036D22"/>
    <w:rsid w:val="00040D7F"/>
    <w:rsid w:val="00051E67"/>
    <w:rsid w:val="00052EBB"/>
    <w:rsid w:val="000A0CA2"/>
    <w:rsid w:val="000A1808"/>
    <w:rsid w:val="000B4A74"/>
    <w:rsid w:val="000C5694"/>
    <w:rsid w:val="000D433E"/>
    <w:rsid w:val="001006B3"/>
    <w:rsid w:val="00104975"/>
    <w:rsid w:val="00107D66"/>
    <w:rsid w:val="0012646E"/>
    <w:rsid w:val="00134EC3"/>
    <w:rsid w:val="00140BDF"/>
    <w:rsid w:val="00146BFB"/>
    <w:rsid w:val="001476FB"/>
    <w:rsid w:val="00153CFA"/>
    <w:rsid w:val="00183130"/>
    <w:rsid w:val="001D711B"/>
    <w:rsid w:val="001E24C7"/>
    <w:rsid w:val="001E4C4A"/>
    <w:rsid w:val="002204E7"/>
    <w:rsid w:val="002207A0"/>
    <w:rsid w:val="0025673C"/>
    <w:rsid w:val="00292431"/>
    <w:rsid w:val="002A435A"/>
    <w:rsid w:val="00302FAF"/>
    <w:rsid w:val="003052B4"/>
    <w:rsid w:val="00353AC8"/>
    <w:rsid w:val="00357972"/>
    <w:rsid w:val="00360A31"/>
    <w:rsid w:val="00364D55"/>
    <w:rsid w:val="003958E5"/>
    <w:rsid w:val="00397283"/>
    <w:rsid w:val="003A0E8B"/>
    <w:rsid w:val="003A69F8"/>
    <w:rsid w:val="003B0C30"/>
    <w:rsid w:val="003D65F1"/>
    <w:rsid w:val="003E0ECD"/>
    <w:rsid w:val="004620A6"/>
    <w:rsid w:val="00494AE6"/>
    <w:rsid w:val="004A29EE"/>
    <w:rsid w:val="004A7A8A"/>
    <w:rsid w:val="004B0C8A"/>
    <w:rsid w:val="004B5D92"/>
    <w:rsid w:val="005168E9"/>
    <w:rsid w:val="00537E03"/>
    <w:rsid w:val="00547DA3"/>
    <w:rsid w:val="00551BDE"/>
    <w:rsid w:val="00571209"/>
    <w:rsid w:val="005833F7"/>
    <w:rsid w:val="005B0F0A"/>
    <w:rsid w:val="005D6176"/>
    <w:rsid w:val="00610909"/>
    <w:rsid w:val="006625C9"/>
    <w:rsid w:val="00672D76"/>
    <w:rsid w:val="00681ACF"/>
    <w:rsid w:val="006B1F10"/>
    <w:rsid w:val="006D1F1D"/>
    <w:rsid w:val="006E576F"/>
    <w:rsid w:val="007202D2"/>
    <w:rsid w:val="00723FA2"/>
    <w:rsid w:val="00773708"/>
    <w:rsid w:val="007B464B"/>
    <w:rsid w:val="007C67AF"/>
    <w:rsid w:val="007F099E"/>
    <w:rsid w:val="007F3EEE"/>
    <w:rsid w:val="00812B98"/>
    <w:rsid w:val="008137E9"/>
    <w:rsid w:val="008156A0"/>
    <w:rsid w:val="00823649"/>
    <w:rsid w:val="00825D3B"/>
    <w:rsid w:val="00827199"/>
    <w:rsid w:val="00865678"/>
    <w:rsid w:val="00875278"/>
    <w:rsid w:val="008B5BE4"/>
    <w:rsid w:val="008C0F87"/>
    <w:rsid w:val="008E28B6"/>
    <w:rsid w:val="00945FB4"/>
    <w:rsid w:val="00982FF2"/>
    <w:rsid w:val="00992D5B"/>
    <w:rsid w:val="009A0A2F"/>
    <w:rsid w:val="009A0E80"/>
    <w:rsid w:val="009A4C6E"/>
    <w:rsid w:val="009B5F31"/>
    <w:rsid w:val="009C3853"/>
    <w:rsid w:val="009D2006"/>
    <w:rsid w:val="009F5C85"/>
    <w:rsid w:val="00A1177F"/>
    <w:rsid w:val="00A24A89"/>
    <w:rsid w:val="00A30318"/>
    <w:rsid w:val="00A5084F"/>
    <w:rsid w:val="00A559F4"/>
    <w:rsid w:val="00A9554A"/>
    <w:rsid w:val="00A96211"/>
    <w:rsid w:val="00AE3A93"/>
    <w:rsid w:val="00AE6A27"/>
    <w:rsid w:val="00AF31D8"/>
    <w:rsid w:val="00AF658B"/>
    <w:rsid w:val="00B1016E"/>
    <w:rsid w:val="00B3072A"/>
    <w:rsid w:val="00B34A90"/>
    <w:rsid w:val="00B3519F"/>
    <w:rsid w:val="00B50684"/>
    <w:rsid w:val="00BD7E66"/>
    <w:rsid w:val="00C0603C"/>
    <w:rsid w:val="00C1037A"/>
    <w:rsid w:val="00C15972"/>
    <w:rsid w:val="00C52933"/>
    <w:rsid w:val="00C53271"/>
    <w:rsid w:val="00C70F6B"/>
    <w:rsid w:val="00CA49A2"/>
    <w:rsid w:val="00CB3903"/>
    <w:rsid w:val="00CC4F06"/>
    <w:rsid w:val="00CE33F9"/>
    <w:rsid w:val="00D26184"/>
    <w:rsid w:val="00D43003"/>
    <w:rsid w:val="00D50B26"/>
    <w:rsid w:val="00D53C4A"/>
    <w:rsid w:val="00D80F78"/>
    <w:rsid w:val="00D8713B"/>
    <w:rsid w:val="00DA0C9D"/>
    <w:rsid w:val="00DE5839"/>
    <w:rsid w:val="00E21178"/>
    <w:rsid w:val="00E36125"/>
    <w:rsid w:val="00E42A09"/>
    <w:rsid w:val="00E526BE"/>
    <w:rsid w:val="00E66329"/>
    <w:rsid w:val="00EA77B2"/>
    <w:rsid w:val="00EB1105"/>
    <w:rsid w:val="00EB4128"/>
    <w:rsid w:val="00EB4154"/>
    <w:rsid w:val="00EC2F05"/>
    <w:rsid w:val="00EC7BBC"/>
    <w:rsid w:val="00ED3A50"/>
    <w:rsid w:val="00F124E2"/>
    <w:rsid w:val="00F304AF"/>
    <w:rsid w:val="00F553F1"/>
    <w:rsid w:val="00F74C24"/>
    <w:rsid w:val="00FA2931"/>
    <w:rsid w:val="00FD0835"/>
    <w:rsid w:val="00FD6C53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59BA5"/>
  <w15:chartTrackingRefBased/>
  <w15:docId w15:val="{DE49D5A0-74F2-4539-B029-9113B2DB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3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Heading1">
    <w:name w:val="heading 1"/>
    <w:basedOn w:val="Normal"/>
    <w:link w:val="Heading1Char"/>
    <w:uiPriority w:val="9"/>
    <w:qFormat/>
    <w:rsid w:val="00610909"/>
    <w:pPr>
      <w:ind w:left="682" w:hanging="56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610909"/>
    <w:pPr>
      <w:spacing w:before="80"/>
      <w:ind w:left="116" w:right="402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909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10909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1090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10909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1"/>
    <w:qFormat/>
    <w:rsid w:val="00610909"/>
    <w:pPr>
      <w:spacing w:before="182"/>
      <w:ind w:left="543" w:hanging="428"/>
      <w:jc w:val="both"/>
    </w:pPr>
  </w:style>
  <w:style w:type="table" w:styleId="TableGrid">
    <w:name w:val="Table Grid"/>
    <w:basedOn w:val="TableNormal"/>
    <w:uiPriority w:val="59"/>
    <w:rsid w:val="0061090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Vlatko Kovačić</dc:creator>
  <cp:keywords/>
  <dc:description/>
  <cp:lastModifiedBy>Vlatko Kovačić</cp:lastModifiedBy>
  <cp:revision>3</cp:revision>
  <cp:lastPrinted>2025-12-11T11:56:00Z</cp:lastPrinted>
  <dcterms:created xsi:type="dcterms:W3CDTF">2025-12-11T13:11:00Z</dcterms:created>
  <dcterms:modified xsi:type="dcterms:W3CDTF">2025-12-11T13:25:00Z</dcterms:modified>
</cp:coreProperties>
</file>